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3754" w:rsidRDefault="009C3754" w:rsidP="009C3754">
      <w:pPr>
        <w:spacing w:afterLines="50" w:after="120"/>
        <w:jc w:val="right"/>
        <w:rPr>
          <w:rFonts w:ascii="Times New Roman" w:eastAsia="宋体" w:hAnsi="Times New Roman" w:cs="Times New Roman"/>
          <w:color w:val="2F2A29"/>
          <w:spacing w:val="27"/>
          <w:sz w:val="73"/>
          <w:szCs w:val="73"/>
        </w:rPr>
      </w:pPr>
      <w:r>
        <w:rPr>
          <w:lang w:val="en-US" w:eastAsia="zh-CN"/>
        </w:rPr>
        <w:drawing>
          <wp:inline distT="0" distB="0" distL="0" distR="0" wp14:anchorId="7467861F" wp14:editId="429141DB">
            <wp:extent cx="1800000" cy="481356"/>
            <wp:effectExtent l="0" t="0" r="0" b="0"/>
            <wp:docPr id="13040879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8"/>
                    <a:stretch>
                      <a:fillRect/>
                    </a:stretch>
                  </pic:blipFill>
                  <pic:spPr>
                    <a:xfrm>
                      <a:off x="0" y="0"/>
                      <a:ext cx="1800000" cy="481356"/>
                    </a:xfrm>
                    <a:prstGeom prst="rect">
                      <a:avLst/>
                    </a:prstGeom>
                  </pic:spPr>
                </pic:pic>
              </a:graphicData>
            </a:graphic>
          </wp:inline>
        </w:drawing>
      </w:r>
    </w:p>
    <w:p w:rsidR="00EB0005" w:rsidRPr="009C3754" w:rsidRDefault="00AD3720" w:rsidP="009C3754">
      <w:pPr>
        <w:spacing w:afterLines="50" w:after="120"/>
        <w:jc w:val="right"/>
        <w:rPr>
          <w:rFonts w:ascii="Times New Roman" w:eastAsia="宋体" w:hAnsi="Times New Roman" w:cs="Times New Roman"/>
          <w:sz w:val="73"/>
          <w:szCs w:val="73"/>
        </w:rPr>
      </w:pPr>
      <w:r>
        <w:rPr>
          <w:rFonts w:ascii="Times New Roman" w:hAnsi="Times New Roman"/>
          <w:color w:val="2F2A29"/>
          <w:sz w:val="73"/>
        </w:rPr>
        <w:t>N-Type ABC Modulgarantie</w:t>
      </w:r>
    </w:p>
    <w:p w:rsidR="009C3754" w:rsidRDefault="00AD3720" w:rsidP="009C3754">
      <w:pPr>
        <w:spacing w:afterLines="50" w:after="120"/>
        <w:jc w:val="right"/>
        <w:rPr>
          <w:rFonts w:ascii="Times New Roman" w:eastAsia="宋体" w:hAnsi="Times New Roman" w:cs="Times New Roman"/>
          <w:b/>
          <w:bCs/>
          <w:spacing w:val="-1"/>
          <w:sz w:val="52"/>
          <w:szCs w:val="52"/>
        </w:rPr>
      </w:pPr>
      <w:r>
        <w:rPr>
          <w:rFonts w:ascii="Times New Roman" w:hAnsi="Times New Roman"/>
          <w:b/>
          <w:sz w:val="52"/>
        </w:rPr>
        <w:t>Verteilte Standardmodule</w:t>
      </w:r>
    </w:p>
    <w:p w:rsidR="009C3754" w:rsidRDefault="009C3754" w:rsidP="009C3754">
      <w:pPr>
        <w:spacing w:afterLines="50" w:after="120"/>
        <w:jc w:val="right"/>
        <w:rPr>
          <w:rFonts w:ascii="Times New Roman" w:eastAsia="宋体" w:hAnsi="Times New Roman" w:cs="Times New Roman"/>
          <w:b/>
          <w:bCs/>
          <w:spacing w:val="-1"/>
          <w:sz w:val="52"/>
          <w:szCs w:val="52"/>
          <w:lang w:eastAsia="zh-CN"/>
        </w:rPr>
      </w:pPr>
    </w:p>
    <w:p w:rsidR="009C3754" w:rsidRDefault="009C3754" w:rsidP="009C3754">
      <w:pPr>
        <w:spacing w:afterLines="50" w:after="120"/>
        <w:jc w:val="right"/>
        <w:rPr>
          <w:rFonts w:ascii="Times New Roman" w:eastAsia="宋体" w:hAnsi="Times New Roman" w:cs="Times New Roman"/>
          <w:sz w:val="52"/>
          <w:szCs w:val="52"/>
          <w:lang w:eastAsia="zh-CN"/>
        </w:rPr>
      </w:pPr>
    </w:p>
    <w:p w:rsidR="009C3754" w:rsidRDefault="009C3754" w:rsidP="009C3754">
      <w:pPr>
        <w:spacing w:afterLines="50" w:after="120"/>
        <w:jc w:val="both"/>
        <w:rPr>
          <w:rFonts w:ascii="Times New Roman" w:eastAsia="宋体" w:hAnsi="Times New Roman" w:cs="Times New Roman"/>
          <w:position w:val="-5"/>
        </w:rPr>
      </w:pPr>
      <w:r>
        <w:rPr>
          <w:rFonts w:ascii="Times New Roman" w:hAnsi="Times New Roman"/>
          <w:lang w:val="en-US" w:eastAsia="zh-CN"/>
        </w:rPr>
        <w:drawing>
          <wp:inline distT="0" distB="0" distL="0" distR="0" wp14:anchorId="3C3DE9EE" wp14:editId="2E443118">
            <wp:extent cx="6120000" cy="5917880"/>
            <wp:effectExtent l="0" t="0" r="0" b="6985"/>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9"/>
                    <a:stretch>
                      <a:fillRect/>
                    </a:stretch>
                  </pic:blipFill>
                  <pic:spPr>
                    <a:xfrm>
                      <a:off x="0" y="0"/>
                      <a:ext cx="6120000" cy="5917880"/>
                    </a:xfrm>
                    <a:prstGeom prst="rect">
                      <a:avLst/>
                    </a:prstGeom>
                  </pic:spPr>
                </pic:pic>
              </a:graphicData>
            </a:graphic>
          </wp:inline>
        </w:drawing>
      </w:r>
    </w:p>
    <w:p w:rsidR="009C3754" w:rsidRDefault="009C3754" w:rsidP="009C3754">
      <w:pPr>
        <w:kinsoku/>
        <w:autoSpaceDE/>
        <w:autoSpaceDN/>
        <w:adjustRightInd/>
        <w:snapToGrid/>
        <w:spacing w:line="278" w:lineRule="auto"/>
        <w:textAlignment w:val="auto"/>
        <w:rPr>
          <w:rFonts w:ascii="Times New Roman" w:eastAsia="宋体" w:hAnsi="Times New Roman" w:cs="Times New Roman"/>
          <w:position w:val="-5"/>
        </w:rPr>
      </w:pPr>
      <w:r>
        <w:br w:type="page"/>
      </w:r>
    </w:p>
    <w:p w:rsid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lastRenderedPageBreak/>
        <w:t xml:space="preserve">1. </w:t>
      </w:r>
      <w:r>
        <w:rPr>
          <w:rFonts w:ascii="Times New Roman" w:hAnsi="Times New Roman"/>
          <w:b/>
          <w:sz w:val="28"/>
        </w:rPr>
        <w:tab/>
        <w:t>Wohingegen</w:t>
      </w:r>
    </w:p>
    <w:p w:rsidR="00EB0005" w:rsidRPr="009C3754" w:rsidRDefault="00AD3720" w:rsidP="009C3754">
      <w:pPr>
        <w:pStyle w:val="a3"/>
        <w:spacing w:afterLines="50" w:after="120"/>
        <w:ind w:left="420"/>
        <w:jc w:val="both"/>
        <w:rPr>
          <w:rFonts w:ascii="Times New Roman" w:eastAsia="宋体" w:hAnsi="Times New Roman" w:cs="Times New Roman"/>
        </w:rPr>
      </w:pPr>
      <w:r>
        <w:rPr>
          <w:rFonts w:ascii="Times New Roman" w:hAnsi="Times New Roman"/>
        </w:rPr>
        <w:t>Zur Standardisierung der Gewährleistungsbedingungen, die die Zhejiang AIKO Solar Technology Co., Ltd. (im Folgenden „Aiko") und ihre verbundenen Unternehmen unter gemeinsamer Kontrolle dem Käufer (im Folgenden „Kunde") im Rahmen eines Kaufvertrags für Phot</w:t>
      </w:r>
      <w:r>
        <w:rPr>
          <w:rFonts w:ascii="Times New Roman" w:hAnsi="Times New Roman"/>
        </w:rPr>
        <w:t>ovoltaikmodule gewähren, werden nachstehend folgende Bestimmungen festgelegt. Anwendbare Produkte sind wie folgt:</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8" w:type="dxa"/>
          <w:right w:w="108" w:type="dxa"/>
        </w:tblCellMar>
        <w:tblLook w:val="04A0" w:firstRow="1" w:lastRow="0" w:firstColumn="1" w:lastColumn="0" w:noHBand="0" w:noVBand="1"/>
      </w:tblPr>
      <w:tblGrid>
        <w:gridCol w:w="4983"/>
        <w:gridCol w:w="4877"/>
      </w:tblGrid>
      <w:tr w:rsidR="00EB0005" w:rsidRPr="009C3754" w:rsidTr="009C3754">
        <w:trPr>
          <w:trHeight w:val="23"/>
        </w:trPr>
        <w:tc>
          <w:tcPr>
            <w:tcW w:w="5000" w:type="pct"/>
            <w:gridSpan w:val="2"/>
            <w:shd w:val="clear" w:color="auto" w:fill="F05323"/>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sz w:val="24"/>
                <w:szCs w:val="24"/>
              </w:rPr>
            </w:pPr>
            <w:r>
              <w:rPr>
                <w:rFonts w:ascii="Times New Roman" w:hAnsi="Times New Roman"/>
                <w:b/>
                <w:color w:val="FFFFFF"/>
                <w:sz w:val="24"/>
              </w:rPr>
              <w:t xml:space="preserve">Die </w:t>
            </w:r>
            <w:r>
              <w:rPr>
                <w:rFonts w:ascii="Times New Roman" w:hAnsi="Times New Roman"/>
                <w:b/>
                <w:i/>
                <w:color w:val="FFFFFF"/>
                <w:sz w:val="24"/>
              </w:rPr>
              <w:t xml:space="preserve">begrenzte Garantie </w:t>
            </w:r>
            <w:r>
              <w:rPr>
                <w:rFonts w:ascii="Times New Roman" w:hAnsi="Times New Roman"/>
                <w:b/>
                <w:color w:val="FFFFFF"/>
                <w:sz w:val="24"/>
              </w:rPr>
              <w:t>gilt für folgende Produkte:</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Verkapselungsstrukturen</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Modell der Module</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AIKO-Axxx-MAH54Mw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AIKO-Axxx-MAH54Dw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AIKO-Axxx-MAH60Mw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AIKO-Axxx-MAH72Mw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AIKO-Axxx-MAH72Dw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AIKO-Axxx-MAH78Dw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AIKO-Gxxx-MCH72Mw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AIKO-Axxx-MCE54Mw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AIKO-Axxx-MCE54Dw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AIKO-Axxx-MCE60Mw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AIKO-Axxx-MAE72Dw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AIKO-Axxx-MAE72Mw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AIKO-Axxx-MDE72Mw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AIKO-Axxx-MAE78Dw</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Monoglasmodule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AIKO-Axxx-MAH72Mb</w:t>
            </w:r>
          </w:p>
        </w:tc>
      </w:tr>
      <w:tr w:rsidR="00EB0005" w:rsidRPr="009C3754" w:rsidTr="009C3754">
        <w:trPr>
          <w:trHeight w:val="23"/>
        </w:trPr>
        <w:tc>
          <w:tcPr>
            <w:tcW w:w="2527"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Doppelglasmodule</w:t>
            </w:r>
          </w:p>
        </w:tc>
        <w:tc>
          <w:tcPr>
            <w:tcW w:w="2473" w:type="pct"/>
            <w:vAlign w:val="center"/>
          </w:tcPr>
          <w:p w:rsidR="00EB0005" w:rsidRPr="009C3754" w:rsidRDefault="00AD3720" w:rsidP="009C3754">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AIKO-Axxx-GRH78Dw</w:t>
            </w:r>
          </w:p>
        </w:tc>
      </w:tr>
    </w:tbl>
    <w:p w:rsidR="009C3754" w:rsidRDefault="009C3754" w:rsidP="009C3754">
      <w:pPr>
        <w:pStyle w:val="a3"/>
        <w:spacing w:afterLines="50" w:after="120"/>
        <w:jc w:val="both"/>
        <w:rPr>
          <w:rFonts w:ascii="Times New Roman" w:eastAsia="宋体" w:hAnsi="Times New Roman" w:cs="Times New Roman"/>
          <w:sz w:val="21"/>
        </w:rPr>
      </w:pPr>
    </w:p>
    <w:p w:rsidR="00EB0005" w:rsidRP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2. </w:t>
      </w:r>
      <w:r>
        <w:rPr>
          <w:rFonts w:ascii="Times New Roman" w:hAnsi="Times New Roman"/>
          <w:b/>
          <w:sz w:val="28"/>
        </w:rPr>
        <w:tab/>
        <w:t>Begrenzte Garantie</w:t>
      </w:r>
    </w:p>
    <w:p w:rsidR="00EB0005" w:rsidRPr="009C3754" w:rsidRDefault="00AD3720" w:rsidP="009C3754">
      <w:pPr>
        <w:pStyle w:val="a3"/>
        <w:spacing w:afterLines="50" w:after="120"/>
        <w:ind w:left="420"/>
        <w:jc w:val="both"/>
        <w:rPr>
          <w:rFonts w:ascii="Times New Roman" w:eastAsia="宋体" w:hAnsi="Times New Roman" w:cs="Times New Roman"/>
        </w:rPr>
      </w:pPr>
      <w:r>
        <w:rPr>
          <w:rFonts w:ascii="Times New Roman" w:hAnsi="Times New Roman"/>
        </w:rPr>
        <w:t>Das in der Garantievereinbarung festgelegte Garantiestartdatum tritt entweder innerhalb von 30 Tagen nach Auslieferung der Produkte an den Kunden in Kraft (basierend auf den spezifischen Lieferbed</w:t>
      </w:r>
      <w:r>
        <w:rPr>
          <w:rFonts w:ascii="Times New Roman" w:hAnsi="Times New Roman"/>
        </w:rPr>
        <w:t>ingungen, die durch den von beiden Parteien unterzeichneten Kaufvertrag gemäß Incoterms 2020 festgelegt sind) oder innerhalb von 90 Tagen nach Versand der Ware ab Werk, je nachdem, welches Ereignis zuerst eintritt.</w:t>
      </w:r>
    </w:p>
    <w:p w:rsidR="00EB0005" w:rsidRPr="009C3754" w:rsidRDefault="00AD3720" w:rsidP="009C3754">
      <w:pPr>
        <w:pStyle w:val="a3"/>
        <w:spacing w:afterLines="50" w:after="120"/>
        <w:jc w:val="both"/>
        <w:rPr>
          <w:rFonts w:ascii="Times New Roman" w:eastAsia="宋体" w:hAnsi="Times New Roman" w:cs="Times New Roman"/>
        </w:rPr>
      </w:pPr>
      <w:r>
        <w:rPr>
          <w:rFonts w:ascii="Times New Roman" w:hAnsi="Times New Roman"/>
          <w:b/>
        </w:rPr>
        <w:t xml:space="preserve">2.1 </w:t>
      </w:r>
      <w:r>
        <w:rPr>
          <w:rFonts w:ascii="Times New Roman" w:hAnsi="Times New Roman"/>
          <w:b/>
        </w:rPr>
        <w:tab/>
      </w:r>
      <w:r>
        <w:rPr>
          <w:rFonts w:ascii="Times New Roman" w:hAnsi="Times New Roman"/>
          <w:b/>
        </w:rPr>
        <w:t>Fünfzehnjährige begrenzte Garantie für die Produkte</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2.1.1 </w:t>
      </w:r>
      <w:r>
        <w:rPr>
          <w:rFonts w:ascii="Times New Roman" w:hAnsi="Times New Roman"/>
        </w:rPr>
        <w:tab/>
        <w:t>Aiko gewährleistet, dass die gelieferten Module (einschließlich der mitgelieferten DC-Steckverbinder und Kabeldrähte) bei sachgemäßer Installation, Nutzung und Wartung gemäß dem Installationshandbu</w:t>
      </w:r>
      <w:r>
        <w:rPr>
          <w:rFonts w:ascii="Times New Roman" w:hAnsi="Times New Roman"/>
        </w:rPr>
        <w:t>ch keine wesentlichen Beeinträchtigungen der grundlegenden Stromerzeugungsfunktionalität des Produkts aufgrund von Material- oder Herstellungsfehlern aufweisen werden. Diese Garantie gilt für einen Zeitraum von 15 Jahren ab dem Garantiestartdatum. Die gena</w:t>
      </w:r>
      <w:r>
        <w:rPr>
          <w:rFonts w:ascii="Times New Roman" w:hAnsi="Times New Roman"/>
        </w:rPr>
        <w:t>nnten Mängel umfassen weder optische Veränderungen noch den normalen Verschleiß der installierten Module. EL-Bildvariationen, die durch den normalen Leistungsabbau verursacht werden, sind ausgeschlossen (einschließlich, aber nicht beschränkt auf dunkle Lin</w:t>
      </w:r>
      <w:r>
        <w:rPr>
          <w:rFonts w:ascii="Times New Roman" w:hAnsi="Times New Roman"/>
        </w:rPr>
        <w:t>ien, Flecken, Helligkeitsunterschiede, ungleichmäßige Graustufen oder ähnliche Anomalien in EL-Bildern).</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2.1.2 </w:t>
      </w:r>
      <w:r>
        <w:rPr>
          <w:rFonts w:ascii="Times New Roman" w:hAnsi="Times New Roman"/>
        </w:rPr>
        <w:tab/>
        <w:t>Diese begrenzte Garantie für die Produkte umfasst Glasbruch, der nicht durch äußere Ursachen verursacht wurde (z. B. Bruch, der durch das Glas s</w:t>
      </w:r>
      <w:r>
        <w:rPr>
          <w:rFonts w:ascii="Times New Roman" w:hAnsi="Times New Roman"/>
        </w:rPr>
        <w:t>elbst oder die Module verursacht wird).</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2.1.3 </w:t>
      </w:r>
      <w:r>
        <w:rPr>
          <w:rFonts w:ascii="Times New Roman" w:hAnsi="Times New Roman"/>
        </w:rPr>
        <w:tab/>
        <w:t>Diese begrenzte Garantie für die Produkte gilt nicht für die leistungsabgabe der Module. Bitte beachten Sie Artikel 2.2 der Besonderen Bestimmungen für Einzelheiten zur Leistungsabgabegarantie der Module.</w:t>
      </w:r>
    </w:p>
    <w:p w:rsidR="00EB0005" w:rsidRPr="009C3754" w:rsidRDefault="00AD3720" w:rsidP="009C3754">
      <w:pPr>
        <w:pStyle w:val="a3"/>
        <w:spacing w:afterLines="50" w:after="120"/>
        <w:jc w:val="both"/>
        <w:rPr>
          <w:rFonts w:ascii="Times New Roman" w:eastAsia="宋体" w:hAnsi="Times New Roman" w:cs="Times New Roman"/>
        </w:rPr>
      </w:pPr>
      <w:r>
        <w:rPr>
          <w:rFonts w:ascii="Times New Roman" w:hAnsi="Times New Roman"/>
          <w:b/>
        </w:rPr>
        <w:t xml:space="preserve">2.2 </w:t>
      </w:r>
      <w:r>
        <w:rPr>
          <w:rFonts w:ascii="Times New Roman" w:hAnsi="Times New Roman"/>
          <w:b/>
        </w:rPr>
        <w:tab/>
        <w:t>Dreißigjährige begrenzte Leistungsgarantie</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2.2.1 </w:t>
      </w:r>
      <w:r>
        <w:rPr>
          <w:rFonts w:ascii="Times New Roman" w:hAnsi="Times New Roman"/>
        </w:rPr>
        <w:tab/>
        <w:t>Die tatsächliche Ausgangsleistung der Produkte kann nur unter Standard-Testbedingungen (STC) gemessen werden. Die tatsächliche Ausgangsleistung wird durch eine von Aiko genehmigte oder durch gegenseitige V</w:t>
      </w:r>
      <w:r>
        <w:rPr>
          <w:rFonts w:ascii="Times New Roman" w:hAnsi="Times New Roman"/>
        </w:rPr>
        <w:t xml:space="preserve">ereinbarung zwischen dem Kunden und Aiko vorab bestimmte Drittpartei-Testorganisation ermittelt. Der Prüfsimulator muss den 3A-Standards der IEC 60904-9:2020 entsprechen. Unterdessen ist der Einfluss der Unsicherheiten der relevanten Mess- und Prüfsysteme </w:t>
      </w:r>
      <w:r>
        <w:rPr>
          <w:rFonts w:ascii="Times New Roman" w:hAnsi="Times New Roman"/>
        </w:rPr>
        <w:t>bei allen tatsächlichen Ausgangsleistungsmessungen unter STC-Bedingungen zu berücksichtigen, die in der Regel ±3 % beträgt. Um die Ausgangsleistung von Modulen unter möglichst realitätsnahen Beleuchtungsbedingungen zu testen, ist eine Vorbehandlung hinsich</w:t>
      </w:r>
      <w:r>
        <w:rPr>
          <w:rFonts w:ascii="Times New Roman" w:hAnsi="Times New Roman"/>
        </w:rPr>
        <w:t>tlich Licht und Temperatur vor dem Modultest erforderlich, da ansonsten die Messunsicherheit erhöht werden könnte.</w:t>
      </w:r>
    </w:p>
    <w:p w:rsidR="00EB0005" w:rsidRPr="009C3754" w:rsidRDefault="00AD3720" w:rsidP="002464A6">
      <w:pPr>
        <w:pStyle w:val="a3"/>
        <w:spacing w:afterLines="50" w:after="120"/>
        <w:ind w:left="1134"/>
        <w:jc w:val="both"/>
        <w:rPr>
          <w:rFonts w:ascii="Times New Roman" w:eastAsia="宋体" w:hAnsi="Times New Roman" w:cs="Times New Roman"/>
        </w:rPr>
      </w:pPr>
      <w:r>
        <w:rPr>
          <w:rFonts w:ascii="Times New Roman" w:hAnsi="Times New Roman"/>
        </w:rPr>
        <w:t>Die Standard-Testbedingungen umfassen Folgendes: Luftmasse (AM) 1,5, Windgeschwindigkeit = 0 m/s, Bestrahlungsstärke 1000 W/m², Zellentempera</w:t>
      </w:r>
      <w:r>
        <w:rPr>
          <w:rFonts w:ascii="Times New Roman" w:hAnsi="Times New Roman"/>
        </w:rPr>
        <w:t>tur 25 °C.</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2.2.2 </w:t>
      </w:r>
      <w:r>
        <w:rPr>
          <w:rFonts w:ascii="Times New Roman" w:hAnsi="Times New Roman"/>
        </w:rPr>
        <w:tab/>
        <w:t>Dreißigjährige begrenzte Leistungsgarantie</w:t>
      </w:r>
    </w:p>
    <w:p w:rsidR="009C3754" w:rsidRDefault="00AD3720" w:rsidP="002464A6">
      <w:pPr>
        <w:pStyle w:val="a3"/>
        <w:spacing w:afterLines="50" w:after="120"/>
        <w:ind w:left="1134"/>
        <w:jc w:val="both"/>
        <w:rPr>
          <w:rFonts w:ascii="Times New Roman" w:eastAsia="宋体" w:hAnsi="Times New Roman" w:cs="Times New Roman"/>
        </w:rPr>
      </w:pPr>
      <w:r>
        <w:rPr>
          <w:rFonts w:ascii="Times New Roman" w:hAnsi="Times New Roman"/>
        </w:rPr>
        <w:t>Aiko gewährt eine begrenzte Leistungsgarantie mit einer Laufzeit von bis zu 30 Jahren für Module ab dem Garantiestartdatum. Die Einzelheiten sind wie folgt:</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8" w:type="dxa"/>
          <w:right w:w="108" w:type="dxa"/>
        </w:tblCellMar>
        <w:tblLook w:val="04A0" w:firstRow="1" w:lastRow="0" w:firstColumn="1" w:lastColumn="0" w:noHBand="0" w:noVBand="1"/>
      </w:tblPr>
      <w:tblGrid>
        <w:gridCol w:w="1387"/>
        <w:gridCol w:w="2285"/>
        <w:gridCol w:w="1990"/>
        <w:gridCol w:w="2099"/>
        <w:gridCol w:w="2099"/>
      </w:tblGrid>
      <w:tr w:rsidR="00EB0005" w:rsidRPr="009C3754" w:rsidTr="002464A6">
        <w:trPr>
          <w:trHeight w:val="23"/>
        </w:trPr>
        <w:tc>
          <w:tcPr>
            <w:tcW w:w="5000" w:type="pct"/>
            <w:gridSpan w:val="5"/>
            <w:shd w:val="clear" w:color="auto" w:fill="F05323"/>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lang w:val="en-US" w:eastAsia="zh-CN"/>
              </w:rPr>
              <w:drawing>
                <wp:anchor distT="0" distB="0" distL="0" distR="0" simplePos="0" relativeHeight="251677184" behindDoc="0" locked="0" layoutInCell="1" allowOverlap="1">
                  <wp:simplePos x="0" y="0"/>
                  <wp:positionH relativeFrom="column">
                    <wp:posOffset>7118911</wp:posOffset>
                  </wp:positionH>
                  <wp:positionV relativeFrom="paragraph">
                    <wp:posOffset>52942</wp:posOffset>
                  </wp:positionV>
                  <wp:extent cx="191967" cy="191794"/>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10"/>
                          <a:stretch>
                            <a:fillRect/>
                          </a:stretch>
                        </pic:blipFill>
                        <pic:spPr>
                          <a:xfrm>
                            <a:off x="0" y="0"/>
                            <a:ext cx="191967" cy="191794"/>
                          </a:xfrm>
                          <a:prstGeom prst="rect">
                            <a:avLst/>
                          </a:prstGeom>
                        </pic:spPr>
                      </pic:pic>
                    </a:graphicData>
                  </a:graphic>
                </wp:anchor>
              </w:drawing>
            </w:r>
            <w:r>
              <w:rPr>
                <w:rFonts w:ascii="Times New Roman" w:hAnsi="Times New Roman"/>
                <w:b/>
                <w:color w:val="FFFFFF"/>
              </w:rPr>
              <w:t>Modulprodukte</w:t>
            </w:r>
          </w:p>
        </w:tc>
      </w:tr>
      <w:tr w:rsidR="00EB0005" w:rsidRPr="009C3754" w:rsidTr="002464A6">
        <w:trPr>
          <w:trHeight w:val="23"/>
        </w:trPr>
        <w:tc>
          <w:tcPr>
            <w:tcW w:w="1052" w:type="pct"/>
            <w:vAlign w:val="center"/>
          </w:tcPr>
          <w:p w:rsidR="00EB0005" w:rsidRPr="009C3754" w:rsidRDefault="002464A6"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sz w:val="21"/>
              </w:rPr>
              <w:t xml:space="preserve"> </w:t>
            </w:r>
            <w:r>
              <w:rPr>
                <w:rFonts w:ascii="Times New Roman" w:hAnsi="Times New Roman"/>
              </w:rPr>
              <w:t>Modultyp</w:t>
            </w:r>
          </w:p>
        </w:tc>
        <w:tc>
          <w:tcPr>
            <w:tcW w:w="1321"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Leistungsdegradationsrate im ersten Jahr (bezogen auf die Nennleistung)</w:t>
            </w:r>
          </w:p>
        </w:tc>
        <w:tc>
          <w:tcPr>
            <w:tcW w:w="891"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Leistungsabnahmerate pro Jahr (vom 2</w:t>
            </w:r>
            <w:r>
              <w:rPr>
                <w:rFonts w:ascii="Times New Roman" w:hAnsi="Times New Roman"/>
                <w:sz w:val="13"/>
              </w:rPr>
              <w:t xml:space="preserve">. </w:t>
            </w:r>
            <w:r>
              <w:rPr>
                <w:rFonts w:ascii="Times New Roman" w:hAnsi="Times New Roman"/>
              </w:rPr>
              <w:t>bis zum 30</w:t>
            </w:r>
            <w:r>
              <w:rPr>
                <w:rFonts w:ascii="Times New Roman" w:hAnsi="Times New Roman"/>
                <w:sz w:val="13"/>
              </w:rPr>
              <w:t xml:space="preserve">. </w:t>
            </w:r>
            <w:r>
              <w:rPr>
                <w:rFonts w:ascii="Times New Roman" w:hAnsi="Times New Roman"/>
              </w:rPr>
              <w:t>Jahr)</w:t>
            </w:r>
          </w:p>
        </w:tc>
        <w:tc>
          <w:tcPr>
            <w:tcW w:w="884" w:type="pct"/>
            <w:vAlign w:val="center"/>
          </w:tcPr>
          <w:p w:rsidR="00EB0005" w:rsidRPr="009C3754" w:rsidRDefault="002464A6"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sz w:val="21"/>
              </w:rPr>
              <w:t xml:space="preserve"> </w:t>
            </w:r>
            <w:r>
              <w:rPr>
                <w:rFonts w:ascii="Times New Roman" w:hAnsi="Times New Roman"/>
              </w:rPr>
              <w:t>Leistungserhaltungsrate (im 25. Jahr)</w:t>
            </w:r>
          </w:p>
        </w:tc>
        <w:tc>
          <w:tcPr>
            <w:tcW w:w="852"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Leistungserhaltungsrate (im 30. Jahr)</w:t>
            </w:r>
          </w:p>
        </w:tc>
      </w:tr>
      <w:tr w:rsidR="00EB0005" w:rsidRPr="009C3754" w:rsidTr="002464A6">
        <w:trPr>
          <w:trHeight w:val="23"/>
        </w:trPr>
        <w:tc>
          <w:tcPr>
            <w:tcW w:w="1052"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Das in Klausel „1" dieser Garantie genannte Produktmodell</w:t>
            </w:r>
          </w:p>
        </w:tc>
        <w:tc>
          <w:tcPr>
            <w:tcW w:w="1321" w:type="pct"/>
            <w:vAlign w:val="center"/>
          </w:tcPr>
          <w:p w:rsidR="00EB0005" w:rsidRPr="009C3754" w:rsidRDefault="002464A6"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sz w:val="21"/>
              </w:rPr>
              <w:t xml:space="preserve"> </w:t>
            </w:r>
            <w:r>
              <w:rPr>
                <w:rFonts w:ascii="Times New Roman" w:hAnsi="Times New Roman"/>
              </w:rPr>
              <w:t>1%</w:t>
            </w:r>
          </w:p>
        </w:tc>
        <w:tc>
          <w:tcPr>
            <w:tcW w:w="891" w:type="pct"/>
            <w:vAlign w:val="center"/>
          </w:tcPr>
          <w:p w:rsidR="00EB0005" w:rsidRPr="009C3754" w:rsidRDefault="002464A6"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sz w:val="21"/>
              </w:rPr>
              <w:t xml:space="preserve"> </w:t>
            </w:r>
            <w:r>
              <w:rPr>
                <w:rFonts w:ascii="Times New Roman" w:hAnsi="Times New Roman"/>
              </w:rPr>
              <w:t>0,35%</w:t>
            </w:r>
          </w:p>
        </w:tc>
        <w:tc>
          <w:tcPr>
            <w:tcW w:w="884" w:type="pct"/>
            <w:vAlign w:val="center"/>
          </w:tcPr>
          <w:p w:rsidR="00EB0005" w:rsidRPr="009C3754" w:rsidRDefault="002464A6"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sz w:val="21"/>
              </w:rPr>
              <w:t xml:space="preserve"> </w:t>
            </w:r>
            <w:r>
              <w:rPr>
                <w:rFonts w:ascii="Times New Roman" w:hAnsi="Times New Roman"/>
              </w:rPr>
              <w:t>90,6%</w:t>
            </w:r>
          </w:p>
        </w:tc>
        <w:tc>
          <w:tcPr>
            <w:tcW w:w="852" w:type="pct"/>
            <w:vAlign w:val="center"/>
          </w:tcPr>
          <w:p w:rsidR="00EB0005" w:rsidRPr="009C3754" w:rsidRDefault="002464A6"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sz w:val="21"/>
              </w:rPr>
              <w:t xml:space="preserve"> </w:t>
            </w:r>
            <w:r>
              <w:rPr>
                <w:rFonts w:ascii="Times New Roman" w:hAnsi="Times New Roman"/>
              </w:rPr>
              <w:t>88,85%</w:t>
            </w:r>
          </w:p>
        </w:tc>
      </w:tr>
    </w:tbl>
    <w:p w:rsidR="00EB0005" w:rsidRPr="009C3754" w:rsidRDefault="00AD3720" w:rsidP="009C3754">
      <w:pPr>
        <w:pStyle w:val="a3"/>
        <w:spacing w:afterLines="50" w:after="120"/>
        <w:jc w:val="both"/>
        <w:rPr>
          <w:rFonts w:ascii="Times New Roman" w:eastAsia="宋体" w:hAnsi="Times New Roman" w:cs="Times New Roman"/>
          <w:sz w:val="18"/>
          <w:szCs w:val="18"/>
        </w:rPr>
      </w:pPr>
      <w:r>
        <w:rPr>
          <w:rFonts w:ascii="Times New Roman" w:hAnsi="Times New Roman"/>
          <w:sz w:val="18"/>
        </w:rPr>
        <w:t>Hinweise:</w:t>
      </w:r>
    </w:p>
    <w:p w:rsidR="00EB0005" w:rsidRPr="009C3754" w:rsidRDefault="00AD3720" w:rsidP="002464A6">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Tatsächliche Ausgangsleistung (1. Jahr) ≥ Nennleistung × (1 - Leistungsabnahmerate im ersten Jahr)</w:t>
      </w:r>
    </w:p>
    <w:p w:rsidR="00EB0005" w:rsidRPr="009C3754" w:rsidRDefault="00AD3720" w:rsidP="002464A6">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Tatsächliche Ausgangsleistung (das N-te Jahr, 2 ≤ N ≤ 30) ≥ Ne</w:t>
      </w:r>
      <w:r>
        <w:rPr>
          <w:rFonts w:ascii="Times New Roman" w:hAnsi="Times New Roman"/>
          <w:sz w:val="18"/>
        </w:rPr>
        <w:t>nnleistung × (1 - (Leistungsabnahmerate im ersten Jahr + Leistungsabnahmerate pro Jahr × (N-1)))</w:t>
      </w:r>
    </w:p>
    <w:p w:rsidR="00EB0005" w:rsidRPr="009C3754" w:rsidRDefault="00AD3720" w:rsidP="002464A6">
      <w:pPr>
        <w:pStyle w:val="a3"/>
        <w:numPr>
          <w:ilvl w:val="0"/>
          <w:numId w:val="1"/>
        </w:numPr>
        <w:spacing w:afterLines="50" w:after="120"/>
        <w:jc w:val="both"/>
        <w:rPr>
          <w:rFonts w:ascii="Times New Roman" w:eastAsia="宋体" w:hAnsi="Times New Roman" w:cs="Times New Roman"/>
          <w:sz w:val="18"/>
          <w:szCs w:val="18"/>
        </w:rPr>
      </w:pPr>
      <w:r>
        <w:rPr>
          <w:rFonts w:ascii="Times New Roman" w:hAnsi="Times New Roman"/>
          <w:sz w:val="18"/>
        </w:rPr>
        <w:t>Zweifelsfrei gilt diese begrenzte Leistungsgarantie ausschließlich für die frontseitige Ausgangsleistung der Module.</w:t>
      </w:r>
    </w:p>
    <w:p w:rsidR="00EB0005" w:rsidRPr="009C3754" w:rsidRDefault="00AD3720" w:rsidP="009C3754">
      <w:pPr>
        <w:pStyle w:val="a3"/>
        <w:spacing w:afterLines="50" w:after="120"/>
        <w:jc w:val="both"/>
        <w:rPr>
          <w:rFonts w:ascii="Times New Roman" w:eastAsia="宋体" w:hAnsi="Times New Roman" w:cs="Times New Roman"/>
        </w:rPr>
      </w:pPr>
      <w:r>
        <w:rPr>
          <w:rFonts w:ascii="Times New Roman" w:hAnsi="Times New Roman"/>
          <w:b/>
        </w:rPr>
        <w:t xml:space="preserve">2.3 </w:t>
      </w:r>
      <w:r>
        <w:rPr>
          <w:rFonts w:ascii="Times New Roman" w:hAnsi="Times New Roman"/>
          <w:b/>
        </w:rPr>
        <w:tab/>
        <w:t>Verlängerter Garantieservice</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2.3.1 </w:t>
      </w:r>
      <w:r>
        <w:rPr>
          <w:rFonts w:ascii="Times New Roman" w:hAnsi="Times New Roman"/>
        </w:rPr>
        <w:tab/>
      </w:r>
      <w:r>
        <w:rPr>
          <w:rFonts w:ascii="Times New Roman" w:hAnsi="Times New Roman"/>
        </w:rPr>
        <w:t>Um den Anwendungswert der Aiko-Produkte für Kunden zu maximieren, bietet Aiko für ABC-Doppelglasmodule eine 15-jährige Standardgarantie der Klasse I sowie zwei zusätzliche kostenpflichtige verlängerte Garantien (Klasse II und Klasse III) zur Auswahl an. De</w:t>
      </w:r>
      <w:r>
        <w:rPr>
          <w:rFonts w:ascii="Times New Roman" w:hAnsi="Times New Roman"/>
        </w:rPr>
        <w:t>r verlängerte Garantieservice bezeichnet die Serviceleistung, die der Hersteller erbringen kann, um die Produktgarantiezeit zu verlängern, wenn die vom Kunden geforderte Garantiezeit den vom Hersteller vorgesehenen Standardgarantiezeitraum überschreitet. D</w:t>
      </w:r>
      <w:r>
        <w:rPr>
          <w:rFonts w:ascii="Times New Roman" w:hAnsi="Times New Roman"/>
        </w:rPr>
        <w:t>ie angebotenen Garantieklassen sind wie folgt:</w:t>
      </w: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8" w:type="dxa"/>
          <w:right w:w="108" w:type="dxa"/>
        </w:tblCellMar>
        <w:tblLook w:val="04A0" w:firstRow="1" w:lastRow="0" w:firstColumn="1" w:lastColumn="0" w:noHBand="0" w:noVBand="1"/>
      </w:tblPr>
      <w:tblGrid>
        <w:gridCol w:w="2771"/>
        <w:gridCol w:w="2445"/>
        <w:gridCol w:w="2248"/>
        <w:gridCol w:w="2396"/>
      </w:tblGrid>
      <w:tr w:rsidR="00EB0005" w:rsidRPr="009C3754" w:rsidTr="002464A6">
        <w:trPr>
          <w:trHeight w:val="23"/>
        </w:trPr>
        <w:tc>
          <w:tcPr>
            <w:tcW w:w="5000" w:type="pct"/>
            <w:gridSpan w:val="4"/>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Verfügbare Garantieklassen für Aiko-ABC-Module</w:t>
            </w:r>
          </w:p>
        </w:tc>
      </w:tr>
      <w:tr w:rsidR="00EB0005" w:rsidRPr="009C3754" w:rsidTr="002464A6">
        <w:trPr>
          <w:trHeight w:val="23"/>
        </w:trPr>
        <w:tc>
          <w:tcPr>
            <w:tcW w:w="1405" w:type="pct"/>
            <w:tcBorders>
              <w:righ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Garantieklasse</w:t>
            </w:r>
          </w:p>
        </w:tc>
        <w:tc>
          <w:tcPr>
            <w:tcW w:w="1240" w:type="pct"/>
            <w:tcBorders>
              <w:left w:val="single" w:sz="4" w:space="0" w:color="000000"/>
              <w:righ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Klasse I</w:t>
            </w:r>
          </w:p>
        </w:tc>
        <w:tc>
          <w:tcPr>
            <w:tcW w:w="1140" w:type="pct"/>
            <w:tcBorders>
              <w:lef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Klasse II</w:t>
            </w:r>
          </w:p>
        </w:tc>
        <w:tc>
          <w:tcPr>
            <w:tcW w:w="1215"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Klasse III</w:t>
            </w:r>
          </w:p>
        </w:tc>
      </w:tr>
      <w:tr w:rsidR="00EB0005" w:rsidRPr="009C3754" w:rsidTr="002464A6">
        <w:trPr>
          <w:trHeight w:val="23"/>
        </w:trPr>
        <w:tc>
          <w:tcPr>
            <w:tcW w:w="1405" w:type="pct"/>
            <w:tcBorders>
              <w:righ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Garantiebeschreibung</w:t>
            </w:r>
          </w:p>
        </w:tc>
        <w:tc>
          <w:tcPr>
            <w:tcW w:w="1240" w:type="pct"/>
            <w:tcBorders>
              <w:left w:val="single" w:sz="4" w:space="0" w:color="000000"/>
              <w:righ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Standard-Garantie</w:t>
            </w:r>
          </w:p>
        </w:tc>
        <w:tc>
          <w:tcPr>
            <w:tcW w:w="1140" w:type="pct"/>
            <w:tcBorders>
              <w:lef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"15+5" Garantie</w:t>
            </w:r>
          </w:p>
        </w:tc>
        <w:tc>
          <w:tcPr>
            <w:tcW w:w="1215"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"15+10" Garantie</w:t>
            </w:r>
          </w:p>
        </w:tc>
      </w:tr>
      <w:tr w:rsidR="00EB0005" w:rsidRPr="009C3754" w:rsidTr="002464A6">
        <w:trPr>
          <w:trHeight w:val="23"/>
        </w:trPr>
        <w:tc>
          <w:tcPr>
            <w:tcW w:w="1405" w:type="pct"/>
            <w:tcBorders>
              <w:righ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Garantiezeitraum</w:t>
            </w:r>
          </w:p>
        </w:tc>
        <w:tc>
          <w:tcPr>
            <w:tcW w:w="1240" w:type="pct"/>
            <w:tcBorders>
              <w:left w:val="single" w:sz="4" w:space="0" w:color="000000"/>
              <w:righ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15 Jahre</w:t>
            </w:r>
          </w:p>
        </w:tc>
        <w:tc>
          <w:tcPr>
            <w:tcW w:w="1140" w:type="pct"/>
            <w:tcBorders>
              <w:left w:val="single" w:sz="4" w:space="0" w:color="000000"/>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20 Jahre</w:t>
            </w:r>
          </w:p>
        </w:tc>
        <w:tc>
          <w:tcPr>
            <w:tcW w:w="1215"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25 Jahre</w:t>
            </w:r>
          </w:p>
        </w:tc>
      </w:tr>
    </w:tbl>
    <w:p w:rsidR="00EB0005" w:rsidRPr="009C3754" w:rsidRDefault="00AD3720" w:rsidP="009C3754">
      <w:pPr>
        <w:pStyle w:val="a3"/>
        <w:spacing w:afterLines="50" w:after="120"/>
        <w:jc w:val="both"/>
        <w:rPr>
          <w:rFonts w:ascii="Times New Roman" w:eastAsia="宋体" w:hAnsi="Times New Roman" w:cs="Times New Roman"/>
          <w:sz w:val="18"/>
          <w:szCs w:val="18"/>
        </w:rPr>
      </w:pPr>
      <w:r>
        <w:rPr>
          <w:rFonts w:ascii="Times New Roman" w:hAnsi="Times New Roman"/>
          <w:sz w:val="18"/>
        </w:rPr>
        <w:t>Hinweise:</w:t>
      </w:r>
    </w:p>
    <w:p w:rsidR="00EB0005" w:rsidRPr="009C3754" w:rsidRDefault="00AD3720" w:rsidP="009C3754">
      <w:pPr>
        <w:pStyle w:val="a3"/>
        <w:spacing w:afterLines="50" w:after="120"/>
        <w:jc w:val="both"/>
        <w:rPr>
          <w:rFonts w:ascii="Times New Roman" w:eastAsia="宋体" w:hAnsi="Times New Roman" w:cs="Times New Roman"/>
          <w:sz w:val="18"/>
          <w:szCs w:val="18"/>
        </w:rPr>
      </w:pPr>
      <w:r>
        <w:rPr>
          <w:rFonts w:ascii="Times New Roman" w:hAnsi="Times New Roman"/>
          <w:sz w:val="18"/>
        </w:rPr>
        <w:t>Die "15+5"-Garantie bedeutet, dass eine verlängerte Fünfjahresgarantie zusätzlich zur standardmäßigen Fünfzehnjahresgarantie gewährt werden kann.</w:t>
      </w:r>
    </w:p>
    <w:p w:rsidR="00EB0005" w:rsidRPr="009C3754" w:rsidRDefault="00AD3720" w:rsidP="009C3754">
      <w:pPr>
        <w:pStyle w:val="a3"/>
        <w:spacing w:afterLines="50" w:after="120"/>
        <w:jc w:val="both"/>
        <w:rPr>
          <w:rFonts w:ascii="Times New Roman" w:eastAsia="宋体" w:hAnsi="Times New Roman" w:cs="Times New Roman"/>
          <w:sz w:val="18"/>
          <w:szCs w:val="18"/>
        </w:rPr>
      </w:pPr>
      <w:r>
        <w:rPr>
          <w:rFonts w:ascii="Times New Roman" w:hAnsi="Times New Roman"/>
          <w:sz w:val="18"/>
        </w:rPr>
        <w:t>Die "15+10"-Garantie bedeutet, dass eine verlängerte Zehnjährige Garantie zusätzlich zur standardmäßigen fünfzehnjährigen Garantie gewährt werden kann.</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2.3.2 </w:t>
      </w:r>
      <w:r>
        <w:rPr>
          <w:rFonts w:ascii="Times New Roman" w:hAnsi="Times New Roman"/>
        </w:rPr>
        <w:tab/>
        <w:t xml:space="preserve">Kunden können nach Bedarf kostenpflichtige verlängerte Garantieservices der Klasse II und Klasse </w:t>
      </w:r>
      <w:r>
        <w:rPr>
          <w:rFonts w:ascii="Times New Roman" w:hAnsi="Times New Roman"/>
        </w:rPr>
        <w:t>III wählen, wobei Aiko über die Bereitstellung dieser Services entsprechend den Anwendungsbereichen und spezifischen Fällen des Kunden entscheidet. Unabhängig davon, welchen verlängerten Garantieservice der Kunde wählt, müssen sowohl der Kunde als auch Aik</w:t>
      </w:r>
      <w:r>
        <w:rPr>
          <w:rFonts w:ascii="Times New Roman" w:hAnsi="Times New Roman"/>
        </w:rPr>
        <w:t>o beim Abschluss des Kaufvertrags eine Registrierung und Hinterlegung vornehmen sowie eine kostenpflichtige Garantievereinbarung unterzeichnen.</w:t>
      </w:r>
    </w:p>
    <w:p w:rsid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2.3.3 </w:t>
      </w:r>
      <w:r>
        <w:rPr>
          <w:rFonts w:ascii="Times New Roman" w:hAnsi="Times New Roman"/>
        </w:rPr>
        <w:tab/>
        <w:t>Die verfügbaren verlängerten Garantieservices für Aiko-Module in verschiedenen Verkaufsmärkten sind wie f</w:t>
      </w:r>
      <w:r>
        <w:rPr>
          <w:rFonts w:ascii="Times New Roman" w:hAnsi="Times New Roman"/>
        </w:rPr>
        <w:t>olgt:</w:t>
      </w:r>
    </w:p>
    <w:p w:rsidR="009C3754" w:rsidRDefault="009C3754" w:rsidP="009C3754">
      <w:pPr>
        <w:pStyle w:val="a3"/>
        <w:spacing w:afterLines="50" w:after="120"/>
        <w:jc w:val="both"/>
        <w:rPr>
          <w:rFonts w:ascii="Times New Roman" w:eastAsia="宋体" w:hAnsi="Times New Roman" w:cs="Times New Roman"/>
          <w:sz w:val="15"/>
          <w:szCs w:val="15"/>
        </w:rPr>
      </w:pPr>
    </w:p>
    <w:tbl>
      <w:tblPr>
        <w:tblStyle w:val="TableNormal"/>
        <w:tblW w:w="5000" w:type="pct"/>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108" w:type="dxa"/>
          <w:right w:w="108" w:type="dxa"/>
        </w:tblCellMar>
        <w:tblLook w:val="04A0" w:firstRow="1" w:lastRow="0" w:firstColumn="1" w:lastColumn="0" w:noHBand="0" w:noVBand="1"/>
      </w:tblPr>
      <w:tblGrid>
        <w:gridCol w:w="1451"/>
        <w:gridCol w:w="6068"/>
        <w:gridCol w:w="1118"/>
        <w:gridCol w:w="1223"/>
      </w:tblGrid>
      <w:tr w:rsidR="00EB0005" w:rsidRPr="009C3754" w:rsidTr="002464A6">
        <w:trPr>
          <w:trHeight w:val="23"/>
        </w:trPr>
        <w:tc>
          <w:tcPr>
            <w:tcW w:w="3813" w:type="pct"/>
            <w:gridSpan w:val="2"/>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Hauptabsatzmärkte (Länder und Regionen)</w:t>
            </w:r>
          </w:p>
        </w:tc>
        <w:tc>
          <w:tcPr>
            <w:tcW w:w="567"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Klasse II</w:t>
            </w:r>
          </w:p>
        </w:tc>
        <w:tc>
          <w:tcPr>
            <w:tcW w:w="620"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b/>
              </w:rPr>
              <w:t>Klasse III</w:t>
            </w:r>
          </w:p>
        </w:tc>
      </w:tr>
      <w:tr w:rsidR="00EB0005" w:rsidRPr="009C3754" w:rsidTr="002464A6">
        <w:trPr>
          <w:trHeight w:val="23"/>
        </w:trPr>
        <w:tc>
          <w:tcPr>
            <w:tcW w:w="736" w:type="pct"/>
            <w:vMerge w:val="restart"/>
            <w:tcBorders>
              <w:bottom w:val="nil"/>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Asien</w:t>
            </w:r>
          </w:p>
        </w:tc>
        <w:tc>
          <w:tcPr>
            <w:tcW w:w="3077"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China</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Merge/>
            <w:tcBorders>
              <w:top w:val="nil"/>
              <w:bottom w:val="nil"/>
            </w:tcBorders>
            <w:vAlign w:val="center"/>
          </w:tcPr>
          <w:p w:rsidR="00EB0005" w:rsidRPr="009C3754" w:rsidRDefault="00EB0005" w:rsidP="002464A6">
            <w:pPr>
              <w:pStyle w:val="TableText"/>
              <w:snapToGrid/>
              <w:spacing w:beforeLines="30" w:before="72" w:afterLines="30" w:after="72"/>
              <w:jc w:val="center"/>
              <w:rPr>
                <w:rFonts w:ascii="Times New Roman" w:eastAsia="宋体" w:hAnsi="Times New Roman" w:cs="Times New Roman"/>
                <w:sz w:val="21"/>
              </w:rPr>
            </w:pPr>
          </w:p>
        </w:tc>
        <w:tc>
          <w:tcPr>
            <w:tcW w:w="3077"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Japan</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Merge/>
            <w:tcBorders>
              <w:top w:val="nil"/>
            </w:tcBorders>
            <w:vAlign w:val="center"/>
          </w:tcPr>
          <w:p w:rsidR="00EB0005" w:rsidRPr="009C3754" w:rsidRDefault="00EB0005" w:rsidP="002464A6">
            <w:pPr>
              <w:pStyle w:val="TableText"/>
              <w:snapToGrid/>
              <w:spacing w:beforeLines="30" w:before="72" w:afterLines="30" w:after="72"/>
              <w:jc w:val="center"/>
              <w:rPr>
                <w:rFonts w:ascii="Times New Roman" w:eastAsia="宋体" w:hAnsi="Times New Roman" w:cs="Times New Roman"/>
                <w:sz w:val="21"/>
              </w:rPr>
            </w:pPr>
          </w:p>
        </w:tc>
        <w:tc>
          <w:tcPr>
            <w:tcW w:w="3077"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Südkorea</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Australien</w:t>
            </w:r>
          </w:p>
        </w:tc>
        <w:tc>
          <w:tcPr>
            <w:tcW w:w="3077"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Australien</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Merge w:val="restart"/>
            <w:tcBorders>
              <w:bottom w:val="nil"/>
            </w:tcBorders>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Europa</w:t>
            </w:r>
          </w:p>
        </w:tc>
        <w:tc>
          <w:tcPr>
            <w:tcW w:w="3077" w:type="pct"/>
            <w:vAlign w:val="center"/>
          </w:tcPr>
          <w:p w:rsidR="002464A6" w:rsidRDefault="00AD3720" w:rsidP="002464A6">
            <w:pPr>
              <w:pStyle w:val="TableText"/>
              <w:snapToGrid/>
              <w:spacing w:beforeLines="30" w:before="72" w:afterLines="30" w:after="72"/>
              <w:jc w:val="center"/>
              <w:rPr>
                <w:rFonts w:ascii="Times New Roman" w:eastAsia="宋体" w:hAnsi="Times New Roman" w:cs="Times New Roman"/>
                <w:spacing w:val="-1"/>
              </w:rPr>
            </w:pPr>
            <w:r>
              <w:rPr>
                <w:rFonts w:ascii="Times New Roman" w:hAnsi="Times New Roman"/>
              </w:rPr>
              <w:t>Deutschsprachiger Raum</w:t>
            </w:r>
          </w:p>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(Deutschland, Österreich, Schweiz)</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Merge/>
            <w:tcBorders>
              <w:top w:val="nil"/>
              <w:bottom w:val="nil"/>
            </w:tcBorders>
            <w:vAlign w:val="center"/>
          </w:tcPr>
          <w:p w:rsidR="00EB0005" w:rsidRPr="009C3754" w:rsidRDefault="00EB0005" w:rsidP="002464A6">
            <w:pPr>
              <w:pStyle w:val="TableText"/>
              <w:snapToGrid/>
              <w:spacing w:beforeLines="30" w:before="72" w:afterLines="30" w:after="72"/>
              <w:jc w:val="center"/>
              <w:rPr>
                <w:rFonts w:ascii="Times New Roman" w:eastAsia="宋体" w:hAnsi="Times New Roman" w:cs="Times New Roman"/>
                <w:sz w:val="21"/>
              </w:rPr>
            </w:pPr>
          </w:p>
        </w:tc>
        <w:tc>
          <w:tcPr>
            <w:tcW w:w="3077" w:type="pct"/>
            <w:vAlign w:val="center"/>
          </w:tcPr>
          <w:p w:rsidR="002464A6"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(ESP-PRT)</w:t>
            </w:r>
          </w:p>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(Spanien/Portugal)</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Merge/>
            <w:tcBorders>
              <w:top w:val="nil"/>
              <w:bottom w:val="nil"/>
            </w:tcBorders>
            <w:vAlign w:val="center"/>
          </w:tcPr>
          <w:p w:rsidR="00EB0005" w:rsidRPr="009C3754" w:rsidRDefault="00EB0005" w:rsidP="002464A6">
            <w:pPr>
              <w:pStyle w:val="TableText"/>
              <w:snapToGrid/>
              <w:spacing w:beforeLines="30" w:before="72" w:afterLines="30" w:after="72"/>
              <w:jc w:val="center"/>
              <w:rPr>
                <w:rFonts w:ascii="Times New Roman" w:eastAsia="宋体" w:hAnsi="Times New Roman" w:cs="Times New Roman"/>
                <w:sz w:val="21"/>
              </w:rPr>
            </w:pPr>
          </w:p>
        </w:tc>
        <w:tc>
          <w:tcPr>
            <w:tcW w:w="3077" w:type="pct"/>
            <w:vAlign w:val="center"/>
          </w:tcPr>
          <w:p w:rsidR="002464A6" w:rsidRDefault="00AD3720" w:rsidP="002464A6">
            <w:pPr>
              <w:pStyle w:val="TableText"/>
              <w:snapToGrid/>
              <w:spacing w:beforeLines="30" w:before="72" w:afterLines="30" w:after="72"/>
              <w:jc w:val="center"/>
              <w:rPr>
                <w:rFonts w:ascii="Times New Roman" w:eastAsia="宋体" w:hAnsi="Times New Roman" w:cs="Times New Roman"/>
                <w:spacing w:val="-2"/>
              </w:rPr>
            </w:pPr>
            <w:r>
              <w:rPr>
                <w:rFonts w:ascii="Times New Roman" w:hAnsi="Times New Roman"/>
              </w:rPr>
              <w:t>(ITA-GRC)</w:t>
            </w:r>
          </w:p>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(Italien/Griechenland)</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Merge/>
            <w:tcBorders>
              <w:top w:val="nil"/>
              <w:bottom w:val="nil"/>
            </w:tcBorders>
            <w:vAlign w:val="center"/>
          </w:tcPr>
          <w:p w:rsidR="00EB0005" w:rsidRPr="009C3754" w:rsidRDefault="00EB0005" w:rsidP="002464A6">
            <w:pPr>
              <w:pStyle w:val="TableText"/>
              <w:snapToGrid/>
              <w:spacing w:beforeLines="30" w:before="72" w:afterLines="30" w:after="72"/>
              <w:jc w:val="center"/>
              <w:rPr>
                <w:rFonts w:ascii="Times New Roman" w:eastAsia="宋体" w:hAnsi="Times New Roman" w:cs="Times New Roman"/>
                <w:sz w:val="21"/>
              </w:rPr>
            </w:pPr>
          </w:p>
        </w:tc>
        <w:tc>
          <w:tcPr>
            <w:tcW w:w="3077" w:type="pct"/>
            <w:vAlign w:val="center"/>
          </w:tcPr>
          <w:p w:rsidR="002464A6" w:rsidRDefault="00AD3720" w:rsidP="002464A6">
            <w:pPr>
              <w:pStyle w:val="TableText"/>
              <w:snapToGrid/>
              <w:spacing w:beforeLines="30" w:before="72" w:afterLines="30" w:after="72"/>
              <w:jc w:val="center"/>
              <w:rPr>
                <w:rFonts w:ascii="Times New Roman" w:eastAsia="宋体" w:hAnsi="Times New Roman" w:cs="Times New Roman"/>
                <w:spacing w:val="-2"/>
              </w:rPr>
            </w:pPr>
            <w:r>
              <w:rPr>
                <w:rFonts w:ascii="Times New Roman" w:hAnsi="Times New Roman"/>
              </w:rPr>
              <w:t>Westeuropa</w:t>
            </w:r>
          </w:p>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(Niederlande, Belgien, Luxemburg/ England, Frankreich)</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Merge/>
            <w:tcBorders>
              <w:top w:val="nil"/>
              <w:bottom w:val="nil"/>
            </w:tcBorders>
            <w:vAlign w:val="center"/>
          </w:tcPr>
          <w:p w:rsidR="00EB0005" w:rsidRPr="009C3754" w:rsidRDefault="00EB0005" w:rsidP="002464A6">
            <w:pPr>
              <w:pStyle w:val="TableText"/>
              <w:snapToGrid/>
              <w:spacing w:beforeLines="30" w:before="72" w:afterLines="30" w:after="72"/>
              <w:jc w:val="center"/>
              <w:rPr>
                <w:rFonts w:ascii="Times New Roman" w:eastAsia="宋体" w:hAnsi="Times New Roman" w:cs="Times New Roman"/>
                <w:sz w:val="21"/>
              </w:rPr>
            </w:pPr>
          </w:p>
        </w:tc>
        <w:tc>
          <w:tcPr>
            <w:tcW w:w="3077" w:type="pct"/>
            <w:vAlign w:val="center"/>
          </w:tcPr>
          <w:p w:rsidR="002464A6"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Nordeuropa</w:t>
            </w:r>
          </w:p>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(Schweden/Norwegen/Finnland/Island)</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Merge/>
            <w:tcBorders>
              <w:top w:val="nil"/>
            </w:tcBorders>
            <w:vAlign w:val="center"/>
          </w:tcPr>
          <w:p w:rsidR="00EB0005" w:rsidRPr="009C3754" w:rsidRDefault="00EB0005" w:rsidP="002464A6">
            <w:pPr>
              <w:pStyle w:val="TableText"/>
              <w:snapToGrid/>
              <w:spacing w:beforeLines="30" w:before="72" w:afterLines="30" w:after="72"/>
              <w:jc w:val="center"/>
              <w:rPr>
                <w:rFonts w:ascii="Times New Roman" w:eastAsia="宋体" w:hAnsi="Times New Roman" w:cs="Times New Roman"/>
                <w:sz w:val="21"/>
              </w:rPr>
            </w:pPr>
          </w:p>
        </w:tc>
        <w:tc>
          <w:tcPr>
            <w:tcW w:w="3077" w:type="pct"/>
            <w:vAlign w:val="center"/>
          </w:tcPr>
          <w:p w:rsidR="002464A6" w:rsidRDefault="00AD3720" w:rsidP="002464A6">
            <w:pPr>
              <w:pStyle w:val="TableText"/>
              <w:snapToGrid/>
              <w:spacing w:beforeLines="30" w:before="72" w:afterLines="30" w:after="72"/>
              <w:jc w:val="center"/>
              <w:rPr>
                <w:rFonts w:ascii="Times New Roman" w:eastAsia="宋体" w:hAnsi="Times New Roman" w:cs="Times New Roman"/>
                <w:spacing w:val="-3"/>
              </w:rPr>
            </w:pPr>
            <w:r>
              <w:rPr>
                <w:rFonts w:ascii="Times New Roman" w:hAnsi="Times New Roman"/>
              </w:rPr>
              <w:t>Osteuropa</w:t>
            </w:r>
          </w:p>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(Polen/Rumänien/Ungarn)</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Afrika</w:t>
            </w:r>
          </w:p>
        </w:tc>
        <w:tc>
          <w:tcPr>
            <w:tcW w:w="3077"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Ganz Afrika</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r w:rsidR="00EB0005" w:rsidRPr="009C3754" w:rsidTr="002464A6">
        <w:trPr>
          <w:trHeight w:val="23"/>
        </w:trPr>
        <w:tc>
          <w:tcPr>
            <w:tcW w:w="736"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Andere Bereiche</w:t>
            </w:r>
          </w:p>
        </w:tc>
        <w:tc>
          <w:tcPr>
            <w:tcW w:w="3077" w:type="pct"/>
            <w:vAlign w:val="center"/>
          </w:tcPr>
          <w:p w:rsidR="00EB0005" w:rsidRPr="009C3754" w:rsidRDefault="00AD3720" w:rsidP="002464A6">
            <w:pPr>
              <w:pStyle w:val="TableText"/>
              <w:snapToGrid/>
              <w:spacing w:beforeLines="30" w:before="72" w:afterLines="30" w:after="72"/>
              <w:jc w:val="center"/>
              <w:rPr>
                <w:rFonts w:ascii="Times New Roman" w:eastAsia="宋体" w:hAnsi="Times New Roman" w:cs="Times New Roman"/>
              </w:rPr>
            </w:pPr>
            <w:r>
              <w:rPr>
                <w:rFonts w:ascii="Times New Roman" w:hAnsi="Times New Roman"/>
              </w:rPr>
              <w:t>der Nahe Osten</w:t>
            </w:r>
          </w:p>
        </w:tc>
        <w:tc>
          <w:tcPr>
            <w:tcW w:w="567"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c>
          <w:tcPr>
            <w:tcW w:w="620" w:type="pct"/>
            <w:vAlign w:val="center"/>
          </w:tcPr>
          <w:p w:rsidR="00EB0005" w:rsidRPr="002464A6" w:rsidRDefault="00AD3720" w:rsidP="002464A6">
            <w:pPr>
              <w:pStyle w:val="TableText"/>
              <w:snapToGrid/>
              <w:spacing w:beforeLines="30" w:before="72" w:afterLines="30" w:after="72"/>
              <w:jc w:val="center"/>
              <w:rPr>
                <w:rFonts w:ascii="宋体" w:eastAsia="宋体" w:hAnsi="宋体" w:cs="Times New Roman"/>
              </w:rPr>
            </w:pPr>
            <w:r>
              <w:rPr>
                <w:rFonts w:ascii="宋体" w:hAnsi="宋体"/>
                <w:b/>
              </w:rPr>
              <w:t>×</w:t>
            </w:r>
          </w:p>
        </w:tc>
      </w:tr>
    </w:tbl>
    <w:p w:rsidR="00EB0005" w:rsidRPr="009C3754" w:rsidRDefault="00AD3720" w:rsidP="009C3754">
      <w:pPr>
        <w:pStyle w:val="a3"/>
        <w:spacing w:afterLines="50" w:after="120"/>
        <w:jc w:val="both"/>
        <w:rPr>
          <w:rFonts w:ascii="Times New Roman" w:eastAsia="宋体" w:hAnsi="Times New Roman" w:cs="Times New Roman"/>
          <w:sz w:val="18"/>
          <w:szCs w:val="18"/>
        </w:rPr>
      </w:pPr>
      <w:r>
        <w:rPr>
          <w:rFonts w:ascii="Times New Roman" w:hAnsi="Times New Roman"/>
          <w:sz w:val="18"/>
        </w:rPr>
        <w:t>● zeigt an, dass der Garantieservice der Klasse II oder Klasse III verfügbar ist</w:t>
      </w:r>
    </w:p>
    <w:p w:rsidR="009C3754" w:rsidRDefault="00AD3720" w:rsidP="009C3754">
      <w:pPr>
        <w:pStyle w:val="a3"/>
        <w:spacing w:afterLines="50" w:after="120"/>
        <w:jc w:val="both"/>
        <w:rPr>
          <w:rFonts w:ascii="Times New Roman" w:eastAsia="宋体" w:hAnsi="Times New Roman" w:cs="Times New Roman"/>
          <w:sz w:val="18"/>
          <w:szCs w:val="18"/>
        </w:rPr>
      </w:pPr>
      <w:r>
        <w:rPr>
          <w:rFonts w:ascii="Times New Roman" w:hAnsi="Times New Roman"/>
          <w:sz w:val="18"/>
        </w:rPr>
        <w:t>× zeigt an, dass der Garantieservice der Klasse II oder Klasse III nicht verfügbar ist</w:t>
      </w:r>
    </w:p>
    <w:p w:rsidR="00EB0005" w:rsidRPr="009C3754" w:rsidRDefault="00AD3720" w:rsidP="009C3754">
      <w:pPr>
        <w:pStyle w:val="a3"/>
        <w:spacing w:afterLines="50" w:after="120"/>
        <w:jc w:val="both"/>
        <w:rPr>
          <w:rFonts w:ascii="Times New Roman" w:eastAsia="宋体" w:hAnsi="Times New Roman" w:cs="Times New Roman"/>
        </w:rPr>
      </w:pPr>
      <w:r>
        <w:rPr>
          <w:rFonts w:ascii="Times New Roman" w:hAnsi="Times New Roman"/>
        </w:rPr>
        <w:t xml:space="preserve">2.3.4 </w:t>
      </w:r>
      <w:r>
        <w:rPr>
          <w:rFonts w:ascii="Times New Roman" w:hAnsi="Times New Roman"/>
        </w:rPr>
        <w:tab/>
        <w:t>Sonstige Vorsichtsmaßnahmen</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2.3.4.1 </w:t>
      </w:r>
      <w:r>
        <w:rPr>
          <w:rFonts w:ascii="Times New Roman" w:hAnsi="Times New Roman"/>
        </w:rPr>
        <w:tab/>
        <w:t>Der Inhalt der verlängerten Garantie liegt i</w:t>
      </w:r>
      <w:r>
        <w:rPr>
          <w:rFonts w:ascii="Times New Roman" w:hAnsi="Times New Roman"/>
        </w:rPr>
        <w:t>m Rahmen der grundlegenden begrenzten Garantie. Wenn die Bedingungen der Grundgarantie nicht erfüllt sind, kann der verlängerte Garantieservice nicht in Anspruch genommen werden.</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2.3.4.2 </w:t>
      </w:r>
      <w:r>
        <w:rPr>
          <w:rFonts w:ascii="Times New Roman" w:hAnsi="Times New Roman"/>
        </w:rPr>
        <w:tab/>
        <w:t>Der Schutz, Betrieb und die Wartung der Module müssen während des ve</w:t>
      </w:r>
      <w:r>
        <w:rPr>
          <w:rFonts w:ascii="Times New Roman" w:hAnsi="Times New Roman"/>
        </w:rPr>
        <w:t>rlängerten Garantiezeitraums den Bedingungen der Grundgarantie entsprechen. Kunden dürfen die Module nicht ohne Genehmigung demontieren, um den Installationsort zu ändern, die Module zu beschädigen oder weiterzuverkaufen. Änderungen oder erneute Demontagen</w:t>
      </w:r>
      <w:r>
        <w:rPr>
          <w:rFonts w:ascii="Times New Roman" w:hAnsi="Times New Roman"/>
        </w:rPr>
        <w:t xml:space="preserve"> der Photovoltaikanlage dürfen nur nach vorheriger Meldung bei Aiko zur Registrierung erfolgen.</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2.3.4.3</w:t>
      </w:r>
      <w:r>
        <w:rPr>
          <w:rFonts w:ascii="Times New Roman" w:hAnsi="Times New Roman"/>
        </w:rPr>
        <w:tab/>
      </w:r>
      <w:r>
        <w:rPr>
          <w:rFonts w:ascii="Times New Roman" w:hAnsi="Times New Roman"/>
        </w:rPr>
        <w:t>Treten während des verlängerten Garantiezeitraums Produktqualitätsprobleme auf, umfassen die Maßnahmen für Module unter anderem Instandsetzung und Austausch. Bei einem Modulaustausch werden Abschreibung sowie Stromertragsverluste entsprechend der bereits a</w:t>
      </w:r>
      <w:r>
        <w:rPr>
          <w:rFonts w:ascii="Times New Roman" w:hAnsi="Times New Roman"/>
        </w:rPr>
        <w:t>bgelaufenen Nutzungsdauer berücksichtigt.</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2.3.4.4</w:t>
      </w:r>
      <w:r>
        <w:rPr>
          <w:rFonts w:ascii="Times New Roman" w:hAnsi="Times New Roman"/>
        </w:rPr>
        <w:tab/>
        <w:t>Der verlängerte Garantieservice entfällt, wenn die Grundgarantie aufgrund von Fehlern oder Schäden durch unsachgemäße Nutzung des Kunden oder durch produktbedingte Mängel unwirksam wird.</w:t>
      </w:r>
    </w:p>
    <w:p w:rsidR="00EB0005" w:rsidRP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3. </w:t>
      </w:r>
      <w:r>
        <w:rPr>
          <w:rFonts w:ascii="Times New Roman" w:hAnsi="Times New Roman"/>
          <w:b/>
          <w:sz w:val="28"/>
        </w:rPr>
        <w:tab/>
      </w:r>
      <w:r>
        <w:rPr>
          <w:rFonts w:ascii="Times New Roman" w:hAnsi="Times New Roman"/>
          <w:b/>
          <w:sz w:val="28"/>
        </w:rPr>
        <w:t>Garantieansprüche</w:t>
      </w:r>
    </w:p>
    <w:p w:rsidR="00EB0005" w:rsidRPr="009C3754" w:rsidRDefault="00AD3720" w:rsidP="00D06F0A">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3.1 </w:t>
      </w:r>
      <w:r>
        <w:rPr>
          <w:rFonts w:ascii="Times New Roman" w:hAnsi="Times New Roman"/>
        </w:rPr>
        <w:tab/>
        <w:t>In jedem Fall sind die Garantieansprüche und die relevanten Daten aller Garantieansprüche schriftlich innerhalb des entsprechenden Garantiezeitraums an Aiko oder die von Aiko autorisierten Händler einzureichen.</w:t>
      </w:r>
    </w:p>
    <w:p w:rsidR="00DD2B1C" w:rsidRDefault="00AD3720" w:rsidP="00D06F0A">
      <w:pPr>
        <w:pStyle w:val="a3"/>
        <w:spacing w:afterLines="50" w:after="120"/>
        <w:ind w:left="440" w:hangingChars="200" w:hanging="440"/>
        <w:jc w:val="both"/>
        <w:rPr>
          <w:rFonts w:ascii="Times New Roman" w:hAnsi="Times New Roman"/>
        </w:rPr>
      </w:pPr>
      <w:r>
        <w:rPr>
          <w:rFonts w:ascii="Times New Roman" w:hAnsi="Times New Roman"/>
        </w:rPr>
        <w:t>3.2</w:t>
      </w:r>
      <w:r>
        <w:rPr>
          <w:rFonts w:ascii="Times New Roman" w:hAnsi="Times New Roman"/>
        </w:rPr>
        <w:tab/>
        <w:t>Der Kunde trägt di</w:t>
      </w:r>
      <w:r>
        <w:rPr>
          <w:rFonts w:ascii="Times New Roman" w:hAnsi="Times New Roman"/>
        </w:rPr>
        <w:t xml:space="preserve">e Beweislast für etwaige Garantieansprüche. Angenommen, der Kunde ist der Ansicht, dass die Module nicht den Anforderungen der begrenzten Produktgarantie oder der begrenzten Leistungsgarantie entsprechen. In diesem Fall hat der Kunde Aiko innerhalb von 30 </w:t>
      </w:r>
      <w:r>
        <w:rPr>
          <w:rFonts w:ascii="Times New Roman" w:hAnsi="Times New Roman"/>
        </w:rPr>
        <w:t>Tagen ab dem Zeitpunkt, zu dem er von diesem Umstand Kenntnis erlangt hat oder hätte erlangen müssen, eine schriftliche Mitteilung an Aikos einheitliche öffentliche E-Mail (</w:t>
      </w:r>
      <w:hyperlink r:id="rId11" w:history="1">
        <w:r>
          <w:rPr>
            <w:rFonts w:ascii="Times New Roman" w:hAnsi="Times New Roman"/>
            <w:color w:val="0000FF"/>
            <w:u w:val="single"/>
          </w:rPr>
          <w:t>cs@aikosolar.com</w:t>
        </w:r>
      </w:hyperlink>
      <w:r>
        <w:rPr>
          <w:rFonts w:ascii="Times New Roman" w:hAnsi="Times New Roman"/>
        </w:rPr>
        <w:t>) zu senden. Eine solche Mi</w:t>
      </w:r>
      <w:r>
        <w:rPr>
          <w:rFonts w:ascii="Times New Roman" w:hAnsi="Times New Roman"/>
        </w:rPr>
        <w:t>tteilung muss folgende Informationen enthalten:</w:t>
      </w:r>
    </w:p>
    <w:p w:rsidR="00DD2B1C" w:rsidRDefault="00AD3720" w:rsidP="00DD2B1C">
      <w:pPr>
        <w:pStyle w:val="a3"/>
        <w:spacing w:afterLines="50" w:after="120"/>
        <w:ind w:leftChars="202" w:left="437" w:hangingChars="6" w:hanging="13"/>
        <w:jc w:val="both"/>
        <w:rPr>
          <w:rFonts w:ascii="Times New Roman" w:hAnsi="Times New Roman"/>
        </w:rPr>
      </w:pPr>
      <w:r>
        <w:rPr>
          <w:rFonts w:ascii="Times New Roman" w:hAnsi="Times New Roman"/>
        </w:rPr>
        <w:t xml:space="preserve"> (a) Der Anspruchsteller;</w:t>
      </w:r>
      <w:r w:rsidR="00DD2B1C">
        <w:rPr>
          <w:rFonts w:ascii="Times New Roman" w:hAnsi="Times New Roman"/>
        </w:rPr>
        <w:t xml:space="preserve"> </w:t>
      </w:r>
    </w:p>
    <w:p w:rsidR="00DD2B1C" w:rsidRDefault="00AD3720" w:rsidP="00DD2B1C">
      <w:pPr>
        <w:pStyle w:val="a3"/>
        <w:spacing w:afterLines="50" w:after="120"/>
        <w:ind w:leftChars="202" w:left="437" w:hangingChars="6" w:hanging="13"/>
        <w:jc w:val="both"/>
        <w:rPr>
          <w:rFonts w:ascii="Times New Roman" w:hAnsi="Times New Roman"/>
        </w:rPr>
      </w:pPr>
      <w:r>
        <w:rPr>
          <w:rFonts w:ascii="Times New Roman" w:hAnsi="Times New Roman"/>
        </w:rPr>
        <w:t>(b) Detaillierte Beschreibungen;</w:t>
      </w:r>
      <w:r w:rsidR="00DD2B1C">
        <w:rPr>
          <w:rFonts w:ascii="Times New Roman" w:hAnsi="Times New Roman"/>
        </w:rPr>
        <w:t xml:space="preserve"> </w:t>
      </w:r>
    </w:p>
    <w:p w:rsidR="00DD2B1C" w:rsidRDefault="00AD3720" w:rsidP="00DD2B1C">
      <w:pPr>
        <w:pStyle w:val="a3"/>
        <w:spacing w:afterLines="50" w:after="120"/>
        <w:ind w:leftChars="202" w:left="437" w:hangingChars="6" w:hanging="13"/>
        <w:jc w:val="both"/>
        <w:rPr>
          <w:rFonts w:ascii="Times New Roman" w:hAnsi="Times New Roman"/>
        </w:rPr>
      </w:pPr>
      <w:r>
        <w:rPr>
          <w:rFonts w:ascii="Times New Roman" w:hAnsi="Times New Roman"/>
        </w:rPr>
        <w:t>(c) Unterstützende Materialien, einschließlich Fotos oder Daten;</w:t>
      </w:r>
      <w:r w:rsidR="00DD2B1C">
        <w:rPr>
          <w:rFonts w:ascii="Times New Roman" w:hAnsi="Times New Roman"/>
        </w:rPr>
        <w:t xml:space="preserve"> </w:t>
      </w:r>
    </w:p>
    <w:p w:rsidR="00DD2B1C" w:rsidRDefault="00AD3720" w:rsidP="00DD2B1C">
      <w:pPr>
        <w:pStyle w:val="a3"/>
        <w:spacing w:afterLines="50" w:after="120"/>
        <w:ind w:leftChars="202" w:left="437" w:hangingChars="6" w:hanging="13"/>
        <w:jc w:val="both"/>
        <w:rPr>
          <w:rFonts w:ascii="Times New Roman" w:hAnsi="Times New Roman"/>
        </w:rPr>
      </w:pPr>
      <w:r>
        <w:rPr>
          <w:rFonts w:ascii="Times New Roman" w:hAnsi="Times New Roman"/>
        </w:rPr>
        <w:t>(d) Seriennummern der relevanten Module;</w:t>
      </w:r>
      <w:r w:rsidR="00DD2B1C">
        <w:rPr>
          <w:rFonts w:ascii="Times New Roman" w:hAnsi="Times New Roman"/>
        </w:rPr>
        <w:t xml:space="preserve"> </w:t>
      </w:r>
    </w:p>
    <w:p w:rsidR="00DD2B1C" w:rsidRDefault="00AD3720" w:rsidP="00DD2B1C">
      <w:pPr>
        <w:pStyle w:val="a3"/>
        <w:spacing w:afterLines="50" w:after="120"/>
        <w:ind w:leftChars="202" w:left="437" w:hangingChars="6" w:hanging="13"/>
        <w:jc w:val="both"/>
        <w:rPr>
          <w:rFonts w:ascii="Times New Roman" w:hAnsi="Times New Roman"/>
        </w:rPr>
      </w:pPr>
      <w:r>
        <w:rPr>
          <w:rFonts w:ascii="Times New Roman" w:hAnsi="Times New Roman"/>
        </w:rPr>
        <w:t>(e) Kaufbelege;</w:t>
      </w:r>
      <w:r w:rsidR="00DD2B1C">
        <w:rPr>
          <w:rFonts w:ascii="Times New Roman" w:hAnsi="Times New Roman"/>
        </w:rPr>
        <w:t xml:space="preserve"> </w:t>
      </w:r>
    </w:p>
    <w:p w:rsidR="00DD2B1C" w:rsidRDefault="00AD3720" w:rsidP="00DD2B1C">
      <w:pPr>
        <w:pStyle w:val="a3"/>
        <w:spacing w:afterLines="50" w:after="120"/>
        <w:ind w:leftChars="202" w:left="437" w:hangingChars="6" w:hanging="13"/>
        <w:jc w:val="both"/>
        <w:rPr>
          <w:rFonts w:ascii="Times New Roman" w:hAnsi="Times New Roman"/>
        </w:rPr>
      </w:pPr>
      <w:r>
        <w:rPr>
          <w:rFonts w:ascii="Times New Roman" w:hAnsi="Times New Roman"/>
        </w:rPr>
        <w:t>(f) Modultyp;</w:t>
      </w:r>
      <w:r w:rsidR="00DD2B1C">
        <w:rPr>
          <w:rFonts w:ascii="Times New Roman" w:hAnsi="Times New Roman"/>
        </w:rPr>
        <w:t xml:space="preserve"> </w:t>
      </w:r>
    </w:p>
    <w:p w:rsidR="00DD2B1C" w:rsidRDefault="00AD3720" w:rsidP="00DD2B1C">
      <w:pPr>
        <w:pStyle w:val="a3"/>
        <w:spacing w:afterLines="50" w:after="120"/>
        <w:ind w:leftChars="202" w:left="437" w:hangingChars="6" w:hanging="13"/>
        <w:jc w:val="both"/>
        <w:rPr>
          <w:rFonts w:ascii="Times New Roman" w:hAnsi="Times New Roman"/>
        </w:rPr>
      </w:pPr>
      <w:r>
        <w:rPr>
          <w:rFonts w:ascii="Times New Roman" w:hAnsi="Times New Roman"/>
        </w:rPr>
        <w:t>(g</w:t>
      </w:r>
      <w:r>
        <w:rPr>
          <w:rFonts w:ascii="Times New Roman" w:hAnsi="Times New Roman"/>
        </w:rPr>
        <w:t>) Standort der Module;</w:t>
      </w:r>
      <w:r w:rsidR="00DD2B1C">
        <w:rPr>
          <w:rFonts w:ascii="Times New Roman" w:hAnsi="Times New Roman"/>
        </w:rPr>
        <w:t xml:space="preserve"> </w:t>
      </w:r>
    </w:p>
    <w:p w:rsidR="00EB0005" w:rsidRPr="009C3754" w:rsidRDefault="00AD3720" w:rsidP="00DD2B1C">
      <w:pPr>
        <w:pStyle w:val="a3"/>
        <w:spacing w:afterLines="50" w:after="120"/>
        <w:ind w:leftChars="202" w:left="437" w:hangingChars="6" w:hanging="13"/>
        <w:jc w:val="both"/>
        <w:rPr>
          <w:rFonts w:ascii="Times New Roman" w:eastAsia="宋体" w:hAnsi="Times New Roman" w:cs="Times New Roman"/>
        </w:rPr>
      </w:pPr>
      <w:r>
        <w:rPr>
          <w:rFonts w:ascii="Times New Roman" w:hAnsi="Times New Roman"/>
        </w:rPr>
        <w:t>(h) Sonstige von Aiko geforderte Zusatzinformationen. Falls der Kunde die oben genannten Informationen nicht bereitstellt, ist Aiko nicht in der Lage, die entsprechenden Garantieansprüche zu bearbeiten.</w:t>
      </w:r>
    </w:p>
    <w:p w:rsidR="00EB0005" w:rsidRPr="009C3754" w:rsidRDefault="00AD3720" w:rsidP="00D06F0A">
      <w:pPr>
        <w:pStyle w:val="a3"/>
        <w:spacing w:afterLines="50" w:after="120"/>
        <w:ind w:left="440" w:hangingChars="200" w:hanging="440"/>
        <w:jc w:val="both"/>
        <w:rPr>
          <w:rFonts w:ascii="Times New Roman" w:eastAsia="宋体" w:hAnsi="Times New Roman" w:cs="Times New Roman"/>
        </w:rPr>
      </w:pPr>
      <w:r>
        <w:rPr>
          <w:rFonts w:ascii="Times New Roman" w:hAnsi="Times New Roman"/>
        </w:rPr>
        <w:t xml:space="preserve">3.3 </w:t>
      </w:r>
      <w:r>
        <w:rPr>
          <w:rFonts w:ascii="Times New Roman" w:hAnsi="Times New Roman"/>
        </w:rPr>
        <w:tab/>
        <w:t>Nach Erhalt der Garanti</w:t>
      </w:r>
      <w:r>
        <w:rPr>
          <w:rFonts w:ascii="Times New Roman" w:hAnsi="Times New Roman"/>
        </w:rPr>
        <w:t>eansprüche des Kunden und der vollständigen Unterlagen wird Aiko gegebenenfalls einen Vertreter beauftragen, den Installationsort und die Nutzungsstelle der betroffenen Module zu untersuchen; der Kunde ist verpflichtet, hierbei aktiv mitzuwirken. Falls der</w:t>
      </w:r>
      <w:r>
        <w:rPr>
          <w:rFonts w:ascii="Times New Roman" w:hAnsi="Times New Roman"/>
        </w:rPr>
        <w:t xml:space="preserve"> Kunde die Untersuchung durch Aiko am Verwendungsort ohne triftigen Grund verweigert, wird Aiko das Garantieverfahren aussetzen.</w:t>
      </w:r>
    </w:p>
    <w:p w:rsidR="00EB0005" w:rsidRP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4. </w:t>
      </w:r>
      <w:r>
        <w:rPr>
          <w:rFonts w:ascii="Times New Roman" w:hAnsi="Times New Roman"/>
          <w:b/>
          <w:sz w:val="28"/>
        </w:rPr>
        <w:tab/>
        <w:t>Erfüllung der Garantie</w:t>
      </w:r>
    </w:p>
    <w:p w:rsidR="00EB0005" w:rsidRPr="009C3754" w:rsidRDefault="00AD3720" w:rsidP="00D06F0A">
      <w:pPr>
        <w:pStyle w:val="a3"/>
        <w:spacing w:afterLines="50" w:after="120"/>
        <w:ind w:left="420"/>
        <w:jc w:val="both"/>
        <w:rPr>
          <w:rFonts w:ascii="Times New Roman" w:eastAsia="宋体" w:hAnsi="Times New Roman" w:cs="Times New Roman"/>
        </w:rPr>
      </w:pPr>
      <w:r>
        <w:rPr>
          <w:rFonts w:ascii="Times New Roman" w:hAnsi="Times New Roman"/>
        </w:rPr>
        <w:t>Falls der Kunde geltend macht, dass ein Produkt nicht den Garantien der begrenzten Garantie entspric</w:t>
      </w:r>
      <w:r>
        <w:rPr>
          <w:rFonts w:ascii="Times New Roman" w:hAnsi="Times New Roman"/>
        </w:rPr>
        <w:t>ht und Aiko feststellt, dass der Mangel auf Material- oder Verfahrensprobleme von Aiko zurückzuführen ist, oder falls Aiko gemäß den durch eine gemeinsam vom Kunden und Aiko ausgewählte Drittpartei-Testorganisation durchgeführten Tests als für die Reklamat</w:t>
      </w:r>
      <w:r>
        <w:rPr>
          <w:rFonts w:ascii="Times New Roman" w:hAnsi="Times New Roman"/>
        </w:rPr>
        <w:t>ion des Kunden verantwortliche Partei bestimmt wird, hat Aiko das Recht, den Kunden durch eine der folgenden Abhilfemaßnahmen zu entschädigen.</w:t>
      </w:r>
    </w:p>
    <w:p w:rsidR="00EB0005" w:rsidRPr="009C3754" w:rsidRDefault="00AD3720" w:rsidP="009C3754">
      <w:pPr>
        <w:pStyle w:val="a3"/>
        <w:spacing w:afterLines="50" w:after="120"/>
        <w:jc w:val="both"/>
        <w:rPr>
          <w:rFonts w:ascii="Times New Roman" w:eastAsia="宋体" w:hAnsi="Times New Roman" w:cs="Times New Roman"/>
        </w:rPr>
      </w:pPr>
      <w:r>
        <w:rPr>
          <w:rFonts w:ascii="Times New Roman" w:hAnsi="Times New Roman"/>
          <w:b/>
        </w:rPr>
        <w:t xml:space="preserve">4.1 </w:t>
      </w:r>
      <w:r>
        <w:rPr>
          <w:rFonts w:ascii="Times New Roman" w:hAnsi="Times New Roman"/>
          <w:b/>
        </w:rPr>
        <w:tab/>
        <w:t>Wartung</w:t>
      </w:r>
    </w:p>
    <w:p w:rsidR="00EB0005" w:rsidRPr="009C3754" w:rsidRDefault="00AD3720" w:rsidP="00D06F0A">
      <w:pPr>
        <w:pStyle w:val="a3"/>
        <w:spacing w:afterLines="50" w:after="120"/>
        <w:ind w:left="420"/>
        <w:jc w:val="both"/>
        <w:rPr>
          <w:rFonts w:ascii="Times New Roman" w:eastAsia="宋体" w:hAnsi="Times New Roman" w:cs="Times New Roman"/>
        </w:rPr>
      </w:pPr>
      <w:r>
        <w:rPr>
          <w:rFonts w:ascii="Times New Roman" w:hAnsi="Times New Roman"/>
        </w:rPr>
        <w:t>Aiko wird den Reparaturplan festlegen und die defekten Produkte reparieren, einschließlich, aber nic</w:t>
      </w:r>
      <w:r>
        <w:rPr>
          <w:rFonts w:ascii="Times New Roman" w:hAnsi="Times New Roman"/>
        </w:rPr>
        <w:t>ht beschränkt auf die Verbesserung der Anschlussdose, die Reparatur von Kratzern auf der Rückwand usw;</w:t>
      </w:r>
    </w:p>
    <w:p w:rsidR="00EB0005" w:rsidRPr="009C3754" w:rsidRDefault="00AD3720" w:rsidP="009C3754">
      <w:pPr>
        <w:pStyle w:val="a3"/>
        <w:spacing w:afterLines="50" w:after="120"/>
        <w:jc w:val="both"/>
        <w:rPr>
          <w:rFonts w:ascii="Times New Roman" w:eastAsia="宋体" w:hAnsi="Times New Roman" w:cs="Times New Roman"/>
        </w:rPr>
      </w:pPr>
      <w:r>
        <w:rPr>
          <w:rFonts w:ascii="Times New Roman" w:hAnsi="Times New Roman"/>
          <w:b/>
        </w:rPr>
        <w:t xml:space="preserve">4.2 </w:t>
      </w:r>
      <w:r>
        <w:rPr>
          <w:rFonts w:ascii="Times New Roman" w:hAnsi="Times New Roman"/>
          <w:b/>
        </w:rPr>
        <w:tab/>
        <w:t>Austausch der Waren</w:t>
      </w:r>
    </w:p>
    <w:p w:rsidR="00EB0005" w:rsidRPr="009C3754" w:rsidRDefault="00AD3720" w:rsidP="00D06F0A">
      <w:pPr>
        <w:pStyle w:val="a3"/>
        <w:spacing w:afterLines="50" w:after="120"/>
        <w:ind w:left="420"/>
        <w:jc w:val="both"/>
        <w:rPr>
          <w:rFonts w:ascii="Times New Roman" w:eastAsia="宋体" w:hAnsi="Times New Roman" w:cs="Times New Roman"/>
        </w:rPr>
      </w:pPr>
      <w:r>
        <w:rPr>
          <w:rFonts w:ascii="Times New Roman" w:hAnsi="Times New Roman"/>
        </w:rPr>
        <w:t xml:space="preserve">Aiko stellt die Produkte kostenlos zur Verfügung, um die defekten zu ersetzen oder zusätzliche Produkte bereitzustellen, um den </w:t>
      </w:r>
      <w:r>
        <w:rPr>
          <w:rFonts w:ascii="Times New Roman" w:hAnsi="Times New Roman"/>
        </w:rPr>
        <w:t>Leistungsunterschied zwischen der getesteten Leistung und der Garantie-Leistung der defekten Produkte auszugleichen;</w:t>
      </w:r>
    </w:p>
    <w:p w:rsidR="00EB0005" w:rsidRPr="009C3754" w:rsidRDefault="00AD3720" w:rsidP="009C3754">
      <w:pPr>
        <w:pStyle w:val="a3"/>
        <w:spacing w:afterLines="50" w:after="120"/>
        <w:jc w:val="both"/>
        <w:rPr>
          <w:rFonts w:ascii="Times New Roman" w:eastAsia="宋体" w:hAnsi="Times New Roman" w:cs="Times New Roman"/>
        </w:rPr>
      </w:pPr>
      <w:r>
        <w:rPr>
          <w:rFonts w:ascii="Times New Roman" w:hAnsi="Times New Roman"/>
          <w:b/>
        </w:rPr>
        <w:t xml:space="preserve">4.3 </w:t>
      </w:r>
      <w:r>
        <w:rPr>
          <w:rFonts w:ascii="Times New Roman" w:hAnsi="Times New Roman"/>
          <w:b/>
        </w:rPr>
        <w:tab/>
        <w:t>Rückerstattung</w:t>
      </w:r>
    </w:p>
    <w:p w:rsidR="00EB0005" w:rsidRPr="009C3754" w:rsidRDefault="00AD3720" w:rsidP="00D06F0A">
      <w:pPr>
        <w:pStyle w:val="a3"/>
        <w:spacing w:afterLines="50" w:after="120"/>
        <w:ind w:left="420"/>
        <w:jc w:val="both"/>
        <w:rPr>
          <w:rFonts w:ascii="Times New Roman" w:eastAsia="宋体" w:hAnsi="Times New Roman" w:cs="Times New Roman"/>
        </w:rPr>
      </w:pPr>
      <w:r>
        <w:rPr>
          <w:rFonts w:ascii="Times New Roman" w:hAnsi="Times New Roman"/>
        </w:rPr>
        <w:t>Die Restwertentschädigung für fehlerhafte Produkte oder die Wertdifferenz entsprechend dem Leistungsunterschied zwische</w:t>
      </w:r>
      <w:r>
        <w:rPr>
          <w:rFonts w:ascii="Times New Roman" w:hAnsi="Times New Roman"/>
        </w:rPr>
        <w:t>n der tatsächlichen Ausgangsleistung der mangelhaften Produkte und der Garantie-Leistung wird durch Rückerstattung beglichen;</w:t>
      </w:r>
    </w:p>
    <w:p w:rsidR="00EB0005" w:rsidRPr="009C3754" w:rsidRDefault="00AD3720" w:rsidP="00D06F0A">
      <w:pPr>
        <w:pStyle w:val="a3"/>
        <w:spacing w:afterLines="50" w:after="120"/>
        <w:ind w:left="420"/>
        <w:jc w:val="both"/>
        <w:rPr>
          <w:rFonts w:ascii="Times New Roman" w:eastAsia="宋体" w:hAnsi="Times New Roman" w:cs="Times New Roman"/>
        </w:rPr>
      </w:pPr>
      <w:r>
        <w:rPr>
          <w:rFonts w:ascii="Times New Roman" w:hAnsi="Times New Roman"/>
          <w:b/>
        </w:rPr>
        <w:t xml:space="preserve">Restwert </w:t>
      </w:r>
      <w:r>
        <w:rPr>
          <w:rFonts w:ascii="Times New Roman" w:hAnsi="Times New Roman"/>
        </w:rPr>
        <w:t>= Im Vertrag vereinbarter Verkaufspreis (Preis pro Watt) × Nennleistung × Verbleibende Jahre der Garantie / 30</w:t>
      </w:r>
    </w:p>
    <w:p w:rsidR="00EB0005" w:rsidRPr="009C3754" w:rsidRDefault="00AD3720" w:rsidP="00D06F0A">
      <w:pPr>
        <w:pStyle w:val="a3"/>
        <w:spacing w:afterLines="50" w:after="120"/>
        <w:ind w:left="420"/>
        <w:jc w:val="both"/>
        <w:rPr>
          <w:rFonts w:ascii="Times New Roman" w:eastAsia="宋体" w:hAnsi="Times New Roman" w:cs="Times New Roman"/>
        </w:rPr>
      </w:pPr>
      <w:r>
        <w:rPr>
          <w:rFonts w:ascii="Times New Roman" w:hAnsi="Times New Roman"/>
          <w:b/>
        </w:rPr>
        <w:t>Wertdiffer</w:t>
      </w:r>
      <w:r>
        <w:rPr>
          <w:rFonts w:ascii="Times New Roman" w:hAnsi="Times New Roman"/>
          <w:b/>
        </w:rPr>
        <w:t xml:space="preserve">enz </w:t>
      </w:r>
      <w:r>
        <w:rPr>
          <w:rFonts w:ascii="Times New Roman" w:hAnsi="Times New Roman"/>
        </w:rPr>
        <w:t>= Im Vertrag vereinbarter Verkaufspreis (Preis pro Watt) × (Summe der verbleibenden theoretischen Garantie-Leistung - Tatsächliche Ausgangsleistung)</w:t>
      </w:r>
    </w:p>
    <w:p w:rsidR="00EB0005" w:rsidRPr="009C3754" w:rsidRDefault="00AD3720" w:rsidP="009C3754">
      <w:pPr>
        <w:pStyle w:val="a3"/>
        <w:spacing w:afterLines="50" w:after="120"/>
        <w:jc w:val="both"/>
        <w:rPr>
          <w:rFonts w:ascii="Times New Roman" w:eastAsia="宋体" w:hAnsi="Times New Roman" w:cs="Times New Roman"/>
        </w:rPr>
      </w:pPr>
      <w:r>
        <w:rPr>
          <w:rFonts w:ascii="Times New Roman" w:hAnsi="Times New Roman"/>
          <w:b/>
        </w:rPr>
        <w:t xml:space="preserve">4.4 </w:t>
      </w:r>
      <w:r>
        <w:rPr>
          <w:rFonts w:ascii="Times New Roman" w:hAnsi="Times New Roman"/>
          <w:b/>
        </w:rPr>
        <w:tab/>
        <w:t>Sondermitteilung:</w:t>
      </w:r>
    </w:p>
    <w:p w:rsidR="00EB0005" w:rsidRPr="009C3754" w:rsidRDefault="00AD3720" w:rsidP="00D06F0A">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4.4.1 </w:t>
      </w:r>
      <w:r>
        <w:rPr>
          <w:rFonts w:ascii="Times New Roman" w:hAnsi="Times New Roman"/>
        </w:rPr>
        <w:tab/>
      </w:r>
      <w:r>
        <w:rPr>
          <w:rFonts w:ascii="Times New Roman" w:hAnsi="Times New Roman"/>
        </w:rPr>
        <w:t xml:space="preserve">Die ursprüngliche Garantiezeit gilt weiterhin für die Module nach Reparatur oder Austausch, d. h. die Garantiezeit wird aufgrund von Reparatur oder Austausch nicht neu berechnet oder verlängert. Falls fehlerhafte Module nicht mehr produziert werden, nicht </w:t>
      </w:r>
      <w:r>
        <w:rPr>
          <w:rFonts w:ascii="Times New Roman" w:hAnsi="Times New Roman"/>
        </w:rPr>
        <w:t>geliefert werden können oder vom Markt genommen wurden, stellt Aiko Module mit vergleichbarer Garantie-Leistung zum Ersatz bereit und gewährleistet, dass die Leistung der neuen Module nicht geringer ist als die der fehlerhaften Module.</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4.4.2 </w:t>
      </w:r>
      <w:r>
        <w:rPr>
          <w:rFonts w:ascii="Times New Roman" w:hAnsi="Times New Roman"/>
        </w:rPr>
        <w:tab/>
        <w:t>Falls die Pro</w:t>
      </w:r>
      <w:r>
        <w:rPr>
          <w:rFonts w:ascii="Times New Roman" w:hAnsi="Times New Roman"/>
        </w:rPr>
        <w:t>dukte zur Qualitätsprüfung an eine dritte Partei gesendet werden müssen, hat der Kunde die Prüfgebühr vorläufig zu tragen. Falls Aiko als verantwortlich für die Mängel festgestellt wird, trägt Aiko die Prüfgebühr sowie die Frachtkosten während der Prüfung.</w:t>
      </w:r>
      <w:r>
        <w:rPr>
          <w:rFonts w:ascii="Times New Roman" w:hAnsi="Times New Roman"/>
        </w:rPr>
        <w:t xml:space="preserve"> Falls Aiko nicht für die festgestellten Mängel verantwortlich ist, trägt Aiko diese Kosten nicht;</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4.4.3 Sofern nicht anderweitig zwischen den Vertragsparteien vereinbart, erfolgt der Transport der reparierten defekten Module bzw. der als Ersatz gelieferte</w:t>
      </w:r>
      <w:r>
        <w:rPr>
          <w:rFonts w:ascii="Times New Roman" w:hAnsi="Times New Roman"/>
        </w:rPr>
        <w:t>n neuen Module durch Aiko zum gleichen Bestimmungsort gemäß den im ursprünglichen Verkaufsvertrag für die betreffenden Module festgelegten Handelsbedingungen. Die Prämie, Frachtkosten, Zollabfertigungsgebühr sowie sonstige angemessene Kosten (der Kunde hat</w:t>
      </w:r>
      <w:r>
        <w:rPr>
          <w:rFonts w:ascii="Times New Roman" w:hAnsi="Times New Roman"/>
        </w:rPr>
        <w:t xml:space="preserve"> Aiko vorab zu kontaktieren und die Rechnungen der entsprechenden Dienstleister zur Beantragung der Erstattung vorzulegen) werden gemäß den ursprünglichen Handelsbedingungen getragen. Alle Kosten und sonstigen damit verbundenen Ausgaben für die Demontage, </w:t>
      </w:r>
      <w:r>
        <w:rPr>
          <w:rFonts w:ascii="Times New Roman" w:hAnsi="Times New Roman"/>
        </w:rPr>
        <w:t>Umpackung, Installation oder Neuinstallation der Produkte trägt der Kunde.</w:t>
      </w:r>
    </w:p>
    <w:p w:rsidR="00EB0005" w:rsidRP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5. </w:t>
      </w:r>
      <w:r>
        <w:rPr>
          <w:rFonts w:ascii="Times New Roman" w:hAnsi="Times New Roman"/>
          <w:b/>
          <w:sz w:val="28"/>
        </w:rPr>
        <w:tab/>
        <w:t>Haftungsausschlussklauseln</w:t>
      </w:r>
    </w:p>
    <w:p w:rsidR="00EB0005" w:rsidRPr="009C3754" w:rsidRDefault="00AD3720" w:rsidP="00D06F0A">
      <w:pPr>
        <w:pStyle w:val="a3"/>
        <w:spacing w:afterLines="50" w:after="120"/>
        <w:ind w:firstLine="420"/>
        <w:jc w:val="both"/>
        <w:rPr>
          <w:rFonts w:ascii="Times New Roman" w:eastAsia="宋体" w:hAnsi="Times New Roman" w:cs="Times New Roman"/>
        </w:rPr>
      </w:pPr>
      <w:r>
        <w:rPr>
          <w:rFonts w:ascii="Times New Roman" w:hAnsi="Times New Roman"/>
          <w:b/>
        </w:rPr>
        <w:t>Die begrenzte Garantie gilt nicht für folgende Module, einschließlich, aber nicht beschränkt auf:</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5.1 </w:t>
      </w:r>
      <w:r>
        <w:rPr>
          <w:rFonts w:ascii="Times New Roman" w:hAnsi="Times New Roman"/>
        </w:rPr>
        <w:tab/>
        <w:t>Produktschäden oder Funktionsausfälle, die durc</w:t>
      </w:r>
      <w:r>
        <w:rPr>
          <w:rFonts w:ascii="Times New Roman" w:hAnsi="Times New Roman"/>
        </w:rPr>
        <w:t>h unsachgemäße Installation, Verwendung oder Wartung seitens des Kunden verursacht werden, wenn dieser die relevanten Bestimmungen des Aiko-Installationshandbuchs, der Technischen Spezifikationen und des Wartungshandbuchs nicht einhält. (Die Daten im Insta</w:t>
      </w:r>
      <w:r>
        <w:rPr>
          <w:rFonts w:ascii="Times New Roman" w:hAnsi="Times New Roman"/>
        </w:rPr>
        <w:t>llationshandbuch basieren auf Tests, die von Aiko oder von Dritthersteller-Zertifizierungsstellen gemäß den statischen Lastanforderungen des IEC 61215 Standards durchgeführt wurden.)</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5.2 </w:t>
      </w:r>
      <w:r>
        <w:rPr>
          <w:rFonts w:ascii="Times New Roman" w:hAnsi="Times New Roman"/>
        </w:rPr>
        <w:tab/>
        <w:t>Produktschäden oder Funktionsausfälle, die durch unsachgemäße Verwen</w:t>
      </w:r>
      <w:r>
        <w:rPr>
          <w:rFonts w:ascii="Times New Roman" w:hAnsi="Times New Roman"/>
        </w:rPr>
        <w:t>dung, Fehlgebrauch, Nachlässigkeit, Vandalismus oder Unfälle seitens des Kunden verursacht werden;</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5.3 </w:t>
      </w:r>
      <w:r>
        <w:rPr>
          <w:rFonts w:ascii="Times New Roman" w:hAnsi="Times New Roman"/>
        </w:rPr>
        <w:tab/>
        <w:t>Produktschäden oder Funktionsausfälle, die durch Stromausfall, Überspannung, Blitzschlag, Überschwemmung, Brand, unbeabsichtigte Beschädigung oder Kolli</w:t>
      </w:r>
      <w:r>
        <w:rPr>
          <w:rFonts w:ascii="Times New Roman" w:hAnsi="Times New Roman"/>
        </w:rPr>
        <w:t>sionen infolge menschlicher und biologischer Aktivitäten, industrielle chemische Einwirkungen oder andere außerhalb des Einflussbereichs von Aiko liegende Ereignisse verursacht werden.</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5.4 </w:t>
      </w:r>
      <w:r>
        <w:rPr>
          <w:rFonts w:ascii="Times New Roman" w:hAnsi="Times New Roman"/>
        </w:rPr>
        <w:tab/>
        <w:t>Für ODM nicht standardisierte Materialien, nicht standardisierte I</w:t>
      </w:r>
      <w:r>
        <w:rPr>
          <w:rFonts w:ascii="Times New Roman" w:hAnsi="Times New Roman"/>
        </w:rPr>
        <w:t>nstallationen und nicht standardmäßig konzipierte Produkte übernimmt Aiko keine Haftung für Produktmängel, die durch vom Kunden spezifizierte Materialien, Fertigungsverfahren oder Installationsmethoden verursacht werden und während der Garantiezeit festges</w:t>
      </w:r>
      <w:r>
        <w:rPr>
          <w:rFonts w:ascii="Times New Roman" w:hAnsi="Times New Roman"/>
        </w:rPr>
        <w:t>tellt werden, sofern nicht anders vereinbart.</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5.5 </w:t>
      </w:r>
      <w:r>
        <w:rPr>
          <w:rFonts w:ascii="Times New Roman" w:hAnsi="Times New Roman"/>
        </w:rPr>
        <w:tab/>
        <w:t>Der Kunde überschreitet die maximale Systemspannung oder verursacht eine Überspannung;</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5.6 </w:t>
      </w:r>
      <w:r>
        <w:rPr>
          <w:rFonts w:ascii="Times New Roman" w:hAnsi="Times New Roman"/>
        </w:rPr>
        <w:tab/>
        <w:t>Das Gebäude, in dem der Kunde die Produkte installiert, weist defekte Bauteile auf;</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5.7 </w:t>
      </w:r>
      <w:r>
        <w:rPr>
          <w:rFonts w:ascii="Times New Roman" w:hAnsi="Times New Roman"/>
        </w:rPr>
        <w:tab/>
        <w:t>Der kunde betreibt die M</w:t>
      </w:r>
      <w:r>
        <w:rPr>
          <w:rFonts w:ascii="Times New Roman" w:hAnsi="Times New Roman"/>
        </w:rPr>
        <w:t xml:space="preserve">odule bei einer abnormalen Umgebungstemperatur oder in einer anwendungsumgebung, die die normale Betriebstemperatur überschreitet. Oder das Anwendungsumfeld (Anwendungsumgebung) ändert sich schnell, was dazu führt, dass die Produkte korrodieren, oxidieren </w:t>
      </w:r>
      <w:r>
        <w:rPr>
          <w:rFonts w:ascii="Times New Roman" w:hAnsi="Times New Roman"/>
        </w:rPr>
        <w:t>oder durch chemische Einwirkungen beeinträchtigt werden.</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5.8 </w:t>
      </w:r>
      <w:r>
        <w:rPr>
          <w:rFonts w:ascii="Times New Roman" w:hAnsi="Times New Roman"/>
        </w:rPr>
        <w:tab/>
        <w:t>Der Kunde kommt seiner Zahlungsverpflichtung für den Warenpreis oder sonstige Beträge (sei es der Gesamtbetrag oder Teile des Warenpreises, etwaige Zinsen oder Kosten aufgrund verspäteter Zahlun</w:t>
      </w:r>
      <w:r>
        <w:rPr>
          <w:rFonts w:ascii="Times New Roman" w:hAnsi="Times New Roman"/>
        </w:rPr>
        <w:t>gen) gegenüber Aiko und dessen verbundenen Unternehmen nicht nach;</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5.9 </w:t>
      </w:r>
      <w:r>
        <w:rPr>
          <w:rFonts w:ascii="Times New Roman" w:hAnsi="Times New Roman"/>
        </w:rPr>
        <w:tab/>
        <w:t>Der Kunde verwendet die Produkte oder führt ein Reverse Engineering von Aikos Produkten in einer Weise durch, die die geistigen Eigentumsrechte (einschließlich, aber nicht beschränkt a</w:t>
      </w:r>
      <w:r>
        <w:rPr>
          <w:rFonts w:ascii="Times New Roman" w:hAnsi="Times New Roman"/>
        </w:rPr>
        <w:t>uf Patentrechte, Markenrechte usw.) von Aiko und dessen verbundenen Unternehmen verletzt.;</w:t>
      </w:r>
    </w:p>
    <w:p w:rsidR="00EB0005" w:rsidRP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5.10 </w:t>
      </w:r>
      <w:r>
        <w:rPr>
          <w:rFonts w:ascii="Times New Roman" w:hAnsi="Times New Roman"/>
        </w:rPr>
        <w:tab/>
        <w:t xml:space="preserve">Aiko behält sich das Recht vor, Garantieansprüche des Kunden abzulehnen, wenn die Modellnummer und Seriennummer eines Moduls ohne schriftliche Genehmigung von </w:t>
      </w:r>
      <w:r>
        <w:rPr>
          <w:rFonts w:ascii="Times New Roman" w:hAnsi="Times New Roman"/>
        </w:rPr>
        <w:t>Aiko verändert oder entfernt wurden oder nicht eindeutig identifizierbar sind;</w:t>
      </w:r>
    </w:p>
    <w:p w:rsidR="00D06F0A" w:rsidRDefault="00AD3720" w:rsidP="00D06F0A">
      <w:pPr>
        <w:pStyle w:val="a3"/>
        <w:spacing w:afterLines="50" w:after="120"/>
        <w:ind w:leftChars="200" w:left="1137" w:hangingChars="326" w:hanging="717"/>
        <w:jc w:val="both"/>
        <w:rPr>
          <w:rFonts w:ascii="Times New Roman" w:eastAsia="宋体" w:hAnsi="Times New Roman" w:cs="Times New Roman"/>
          <w:spacing w:val="-1"/>
        </w:rPr>
      </w:pPr>
      <w:r>
        <w:rPr>
          <w:rFonts w:ascii="Times New Roman" w:hAnsi="Times New Roman"/>
        </w:rPr>
        <w:t xml:space="preserve">5.11 </w:t>
      </w:r>
      <w:r>
        <w:rPr>
          <w:rFonts w:ascii="Times New Roman" w:hAnsi="Times New Roman"/>
        </w:rPr>
        <w:tab/>
      </w:r>
      <w:r>
        <w:rPr>
          <w:rFonts w:ascii="Times New Roman" w:hAnsi="Times New Roman"/>
        </w:rPr>
        <w:t>Oberflächenmängel oder optische Veränderungen, die durch normalen Verschleiß oder Materialalterung der Materialien von Photovoltaik-Modulen verursacht werden und nicht zu einer Unterschreitung der garantierten Spitzenleistung führen. Die normalen Verschlei</w:t>
      </w:r>
      <w:r>
        <w:rPr>
          <w:rFonts w:ascii="Times New Roman" w:hAnsi="Times New Roman"/>
        </w:rPr>
        <w:t>ßerscheinungen von Materialien von Photovoltaik-Modulen umfassen, sind jedoch nicht beschränkt auf Verfärbungen der Rahmen, Verwitterung der Glasbeschichtung sowie verfärbte Bereiche um oder über einem Teil einer einzelnen Solarzelle oder eines Photovoltai</w:t>
      </w:r>
      <w:r>
        <w:rPr>
          <w:rFonts w:ascii="Times New Roman" w:hAnsi="Times New Roman"/>
        </w:rPr>
        <w:t>k-Moduls;</w:t>
      </w:r>
    </w:p>
    <w:p w:rsidR="00EB0005" w:rsidRPr="009C3754" w:rsidRDefault="00AD3720" w:rsidP="00D06F0A">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5.12 </w:t>
      </w:r>
      <w:r>
        <w:rPr>
          <w:rFonts w:ascii="Times New Roman" w:hAnsi="Times New Roman"/>
        </w:rPr>
        <w:tab/>
        <w:t>Der Kunde entfernt die Module vom ursprünglichen Installationsort oder ändert den Projektstandort ohne ausdrückliche schriftliche Genehmigung von Aiko.</w:t>
      </w:r>
    </w:p>
    <w:p w:rsid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6. </w:t>
      </w:r>
      <w:r>
        <w:rPr>
          <w:rFonts w:ascii="Times New Roman" w:hAnsi="Times New Roman"/>
          <w:b/>
          <w:sz w:val="28"/>
        </w:rPr>
        <w:tab/>
        <w:t>Einschränkungsklauseln</w:t>
      </w:r>
    </w:p>
    <w:p w:rsidR="00EB0005" w:rsidRPr="009C3754" w:rsidRDefault="00AD3720" w:rsidP="00D06F0A">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6.1 </w:t>
      </w:r>
      <w:r>
        <w:rPr>
          <w:rFonts w:ascii="Times New Roman" w:hAnsi="Times New Roman"/>
        </w:rPr>
        <w:tab/>
      </w:r>
      <w:r>
        <w:rPr>
          <w:rFonts w:ascii="Times New Roman" w:hAnsi="Times New Roman"/>
        </w:rPr>
        <w:t>Die Bestimmungen dieser begrenzten Garantie ersetzen und schließen ausdrücklich alle anderen Garantien aus – ausdrückliche oder stillschweigende –, einschließlich, aber nicht beschränkt auf Garantien für die Handelsfähigkeit, Garantien für bestimmte Zwecke</w:t>
      </w:r>
      <w:r>
        <w:rPr>
          <w:rFonts w:ascii="Times New Roman" w:hAnsi="Times New Roman"/>
        </w:rPr>
        <w:t>, besondere Verwendungen oder Anwendungen sowie andere Verpflichtungen oder Haftungen, die Aiko übernehmen sollte, es sei denn, Aiko hat diese begrenzte Garantie schriftlich geändert und andere Verpflichtungen und Haftungen unterzeichnet und anerkannt.</w:t>
      </w:r>
    </w:p>
    <w:p w:rsidR="00EB0005" w:rsidRPr="009C3754" w:rsidRDefault="00AD3720" w:rsidP="00D06F0A">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6.2</w:t>
      </w:r>
      <w:r>
        <w:rPr>
          <w:rFonts w:ascii="Times New Roman" w:hAnsi="Times New Roman"/>
        </w:rPr>
        <w:t xml:space="preserve"> </w:t>
      </w:r>
      <w:r>
        <w:rPr>
          <w:rFonts w:ascii="Times New Roman" w:hAnsi="Times New Roman"/>
        </w:rPr>
        <w:tab/>
        <w:t>Der Kunde versteht und erklärt sich damit einverstanden, dass Aiko im größtmöglichen, gesetzlich zulässigen Umfang nicht haftet für Personenschäden oder Sachschäden sowie für sonstige Verluste oder Schäden, die sich aus oder im Zusammenhang mit den Modul</w:t>
      </w:r>
      <w:r>
        <w:rPr>
          <w:rFonts w:ascii="Times New Roman" w:hAnsi="Times New Roman"/>
        </w:rPr>
        <w:t>en ergeben (einschließlich, aber nicht beschränkt auf Mängel der Module oder Mängel infolge der Verwendung und Installation der Module). Aiko haftet nicht für Folge-, mittelbare oder besondere Schäden, gleich aus welchem Grund.</w:t>
      </w:r>
    </w:p>
    <w:p w:rsidR="009C3754" w:rsidRDefault="00AD3720" w:rsidP="00D06F0A">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6.3 </w:t>
      </w:r>
      <w:r>
        <w:rPr>
          <w:rFonts w:ascii="Times New Roman" w:hAnsi="Times New Roman"/>
        </w:rPr>
        <w:tab/>
        <w:t>Hiermit werden ausdrück</w:t>
      </w:r>
      <w:r>
        <w:rPr>
          <w:rFonts w:ascii="Times New Roman" w:hAnsi="Times New Roman"/>
        </w:rPr>
        <w:t>lich indirekte Verluste ausgeschlossen, die durch Produktunverfügbarkeit oder Qualitätsmängel verursacht werden, einschließlich, aber nicht beschränkt auf Gewinnverlust, Produktionsausfall, Energieerzeugungsverlust, Verlust von Geschäftsmöglichkeiten, Verl</w:t>
      </w:r>
      <w:r>
        <w:rPr>
          <w:rFonts w:ascii="Times New Roman" w:hAnsi="Times New Roman"/>
        </w:rPr>
        <w:t>ust des Firmenwerts, erhöhte Betriebskosten oder Umsatzverlust. Falls Aiko den Kunden entschädigen muss, darf der Gesamtbetrag aller Entschädigungen den Rechnungsbetrag der vom Kunden gezahlten fehlerhaften Module nicht überschreiten. Zur Vermeidung von Zw</w:t>
      </w:r>
      <w:r>
        <w:rPr>
          <w:rFonts w:ascii="Times New Roman" w:hAnsi="Times New Roman"/>
        </w:rPr>
        <w:t xml:space="preserve">eifeln gilt: Im Falle von Widersprüchen zwischen den Bestimmungen des „Modulverkaufsvertrags", des „Technischen Übereinkommens für Module" und der „Zugehörigen Dokumentation" sowie dieser begrenzten Garantie sind die Bestimmungen dieser Garantie vorrangig </w:t>
      </w:r>
      <w:r>
        <w:rPr>
          <w:rFonts w:ascii="Times New Roman" w:hAnsi="Times New Roman"/>
        </w:rPr>
        <w:t>anzuwenden.</w:t>
      </w:r>
    </w:p>
    <w:p w:rsid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7. </w:t>
      </w:r>
      <w:r>
        <w:rPr>
          <w:rFonts w:ascii="Times New Roman" w:hAnsi="Times New Roman"/>
          <w:b/>
          <w:sz w:val="28"/>
        </w:rPr>
        <w:tab/>
        <w:t>Übertragung von Garantierechten und -ansprüchen</w:t>
      </w:r>
    </w:p>
    <w:p w:rsidR="00EB0005" w:rsidRPr="009C3754" w:rsidRDefault="00AD3720" w:rsidP="00D06F0A">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7.1 </w:t>
      </w:r>
      <w:r>
        <w:rPr>
          <w:rFonts w:ascii="Times New Roman" w:hAnsi="Times New Roman"/>
        </w:rPr>
        <w:tab/>
        <w:t xml:space="preserve">Der Kunde kann die Rechte aus dieser begrenzten Garantie auf den nachfolgenden neuen Eigentümer übertragen, nachdem Aiko zugestimmt und das dreiseitige Abkommen unterzeichnet hat, sofern </w:t>
      </w:r>
      <w:r>
        <w:rPr>
          <w:rFonts w:ascii="Times New Roman" w:hAnsi="Times New Roman"/>
        </w:rPr>
        <w:t>der Kunde Folgendes gewährleistet:</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7.1.1 </w:t>
      </w:r>
      <w:r>
        <w:rPr>
          <w:rFonts w:ascii="Times New Roman" w:hAnsi="Times New Roman"/>
        </w:rPr>
        <w:tab/>
        <w:t>Die Module bleiben intakt und nicht entfernbar am ursprünglichen Installationsort;</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7.1.2 </w:t>
      </w:r>
      <w:r>
        <w:rPr>
          <w:rFonts w:ascii="Times New Roman" w:hAnsi="Times New Roman"/>
        </w:rPr>
        <w:tab/>
        <w:t>Es bestehen keine Rückstände oder sonstige Verbindlichkeiten (wie Schadensersatz) aus dem Modulverkaufsvertrag;</w:t>
      </w:r>
    </w:p>
    <w:p w:rsidR="00EB0005" w:rsidRPr="009C3754" w:rsidRDefault="00AD3720" w:rsidP="009C3754">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7.1.3 </w:t>
      </w:r>
      <w:r>
        <w:rPr>
          <w:rFonts w:ascii="Times New Roman" w:hAnsi="Times New Roman"/>
        </w:rPr>
        <w:tab/>
        <w:t>Der n</w:t>
      </w:r>
      <w:r>
        <w:rPr>
          <w:rFonts w:ascii="Times New Roman" w:hAnsi="Times New Roman"/>
        </w:rPr>
        <w:t>eue Eigentümer ist an alle Bestimmungen und Bedingungen dieser begrenzten Garantie gebunden. Der Gegenstand der Übertragung ist die Gesamtheit dieser begrenzten Garantie und nicht nur ein Teil davon.</w:t>
      </w:r>
    </w:p>
    <w:p w:rsidR="00EB0005" w:rsidRPr="009C3754" w:rsidRDefault="00AD3720" w:rsidP="00D06F0A">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7.2 </w:t>
      </w:r>
      <w:r>
        <w:rPr>
          <w:rFonts w:ascii="Times New Roman" w:hAnsi="Times New Roman"/>
        </w:rPr>
        <w:tab/>
        <w:t xml:space="preserve">Auf Verlangen von Aiko hat der Kunde innerhalb von </w:t>
      </w:r>
      <w:r>
        <w:rPr>
          <w:rFonts w:ascii="Times New Roman" w:hAnsi="Times New Roman"/>
        </w:rPr>
        <w:t>15 Arbeitstagen nach Erhalt der Mitteilung von Aiko angemessene Nachweise zur Bestätigung der Eigentumsnachfolge oder -übertragung vorzulegen; andernfalls ist Aiko berechtigt, die Bearbeitung der entsprechenden Garantieansprüche abzulehnen, ohne hierfür ei</w:t>
      </w:r>
      <w:r>
        <w:rPr>
          <w:rFonts w:ascii="Times New Roman" w:hAnsi="Times New Roman"/>
        </w:rPr>
        <w:t>ne Haftung zu übernehmen.</w:t>
      </w:r>
    </w:p>
    <w:p w:rsidR="00EB0005" w:rsidRPr="009C3754" w:rsidRDefault="00AD3720" w:rsidP="00D06F0A">
      <w:pPr>
        <w:pStyle w:val="a3"/>
        <w:spacing w:afterLines="50" w:after="120"/>
        <w:ind w:leftChars="200" w:left="1137" w:hangingChars="326" w:hanging="717"/>
        <w:jc w:val="both"/>
        <w:rPr>
          <w:rFonts w:ascii="Times New Roman" w:eastAsia="宋体" w:hAnsi="Times New Roman" w:cs="Times New Roman"/>
        </w:rPr>
      </w:pPr>
      <w:r>
        <w:rPr>
          <w:rFonts w:ascii="Times New Roman" w:hAnsi="Times New Roman"/>
        </w:rPr>
        <w:t xml:space="preserve">7.3 </w:t>
      </w:r>
      <w:r>
        <w:rPr>
          <w:rFonts w:ascii="Times New Roman" w:hAnsi="Times New Roman"/>
        </w:rPr>
        <w:tab/>
        <w:t>Abgesehen von den vorstehenden Bestimmungen darf diese begrenzte Garantie in keiner anderen Weise übertragen werden. Jede Übertragung, die nicht mit diesem Artikel übereinstimmt, ist für Aiko nicht verbindlich. Aiko behält si</w:t>
      </w:r>
      <w:r>
        <w:rPr>
          <w:rFonts w:ascii="Times New Roman" w:hAnsi="Times New Roman"/>
        </w:rPr>
        <w:t>ch das Recht vor, die entsprechenden Garantieansprüche abzulehnen, ohne hieraus resultierende Haftungsverpflichtungen zu übernehmen.</w:t>
      </w:r>
    </w:p>
    <w:p w:rsidR="00EB0005" w:rsidRP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8. </w:t>
      </w:r>
      <w:r>
        <w:rPr>
          <w:rFonts w:ascii="Times New Roman" w:hAnsi="Times New Roman"/>
          <w:b/>
          <w:sz w:val="28"/>
        </w:rPr>
        <w:tab/>
        <w:t>Teilbarkeit der Garantiebedingungen</w:t>
      </w:r>
    </w:p>
    <w:p w:rsidR="00EB0005" w:rsidRPr="009C3754" w:rsidRDefault="00AD3720" w:rsidP="009C3754">
      <w:pPr>
        <w:pStyle w:val="a3"/>
        <w:spacing w:afterLines="50" w:after="120"/>
        <w:ind w:left="420"/>
        <w:jc w:val="both"/>
        <w:rPr>
          <w:rFonts w:ascii="Times New Roman" w:eastAsia="宋体" w:hAnsi="Times New Roman" w:cs="Times New Roman"/>
        </w:rPr>
      </w:pPr>
      <w:r>
        <w:rPr>
          <w:rFonts w:ascii="Times New Roman" w:hAnsi="Times New Roman"/>
        </w:rPr>
        <w:t>Falls ein Teil oder eine Bestimmung dieser begrenzten Garantie für nichtig, unwirks</w:t>
      </w:r>
      <w:r>
        <w:rPr>
          <w:rFonts w:ascii="Times New Roman" w:hAnsi="Times New Roman"/>
        </w:rPr>
        <w:t>am oder undurchsetzbar erklärt wird oder die Anwendbarkeit eines Teils oder einer Bestimmung auf bestimmte Personen oder unter bestimmten Umständen für nichtig, unwirksam oder undurchsetzbar befunden wird, berührt dies nicht die Gültigkeit der übrigen Teil</w:t>
      </w:r>
      <w:r>
        <w:rPr>
          <w:rFonts w:ascii="Times New Roman" w:hAnsi="Times New Roman"/>
        </w:rPr>
        <w:t>e oder Bestimmungen dieser Garantie oder deren Anwendbarkeit. Unter diesen Umständen gilt die Anwendbarkeit anderer Teile oder Bestimmungen dieser Garantie als unabhängig und wirksam.</w:t>
      </w:r>
    </w:p>
    <w:p w:rsidR="00EB0005" w:rsidRP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9. </w:t>
      </w:r>
      <w:r>
        <w:rPr>
          <w:rFonts w:ascii="Times New Roman" w:hAnsi="Times New Roman"/>
          <w:b/>
          <w:sz w:val="28"/>
        </w:rPr>
        <w:tab/>
        <w:t>Anwendbares Recht und Beilegung von Streitigkeiten</w:t>
      </w:r>
    </w:p>
    <w:p w:rsidR="00EB0005" w:rsidRPr="009C3754" w:rsidRDefault="00AD3720" w:rsidP="009C3754">
      <w:pPr>
        <w:pStyle w:val="a3"/>
        <w:spacing w:afterLines="50" w:after="120"/>
        <w:ind w:left="420"/>
        <w:jc w:val="both"/>
        <w:rPr>
          <w:rFonts w:ascii="Times New Roman" w:eastAsia="宋体" w:hAnsi="Times New Roman" w:cs="Times New Roman"/>
        </w:rPr>
      </w:pPr>
      <w:r>
        <w:rPr>
          <w:rFonts w:ascii="Times New Roman" w:hAnsi="Times New Roman"/>
        </w:rPr>
        <w:t>Jede Streitigkeit</w:t>
      </w:r>
      <w:r>
        <w:rPr>
          <w:rFonts w:ascii="Times New Roman" w:hAnsi="Times New Roman"/>
        </w:rPr>
        <w:t xml:space="preserve"> im Zusammenhang mit dieser begrenzten Garantie, einschließlich, aber nicht beschränkt auf deren Bestehen, Gültigkeit, Verletzung oder Beendigung, wird gemäß den im zwischen den Parteien geschlossenen Verkaufsvertrag vereinbarten Streitbeilegungsmethoden b</w:t>
      </w:r>
      <w:r>
        <w:rPr>
          <w:rFonts w:ascii="Times New Roman" w:hAnsi="Times New Roman"/>
        </w:rPr>
        <w:t>eigelegt. Im Falle von Meinungsverschiedenheiten bezüglich der Haftungsbeurteilung für Garantieansprüche erklären sich der Kunde und Aiko ausdrücklich damit einverstanden, eine der autorisierten Testorganisationen – ausschließlich TÜV Rheinland, TÜV SÜD, C</w:t>
      </w:r>
      <w:r>
        <w:rPr>
          <w:rFonts w:ascii="Times New Roman" w:hAnsi="Times New Roman"/>
        </w:rPr>
        <w:t>QC, CGC oder KIWA – mit der Durchführung der Tests zu beauftragen. Diese Testorganisationen können eingeladen werden, eine endgültige Entscheidung über die Garantieansprüche zu treffen. Sofern im endgültigen Schiedsspruch oder Urteil zur Streitbeilegung ni</w:t>
      </w:r>
      <w:r>
        <w:rPr>
          <w:rFonts w:ascii="Times New Roman" w:hAnsi="Times New Roman"/>
        </w:rPr>
        <w:t>chts anderes bestimmt ist, trägt die vertragsverletzende Partei sämtliche Kosten, die durch die Beauftragung einer Drittpartei-Testorganisation entstehen. Aiko behält sich das Recht der endgültigen Auslegung dieser begrenzten Garantie vor.</w:t>
      </w:r>
    </w:p>
    <w:p w:rsidR="00EB0005" w:rsidRP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 xml:space="preserve">10. </w:t>
      </w:r>
      <w:r>
        <w:rPr>
          <w:rFonts w:ascii="Times New Roman" w:hAnsi="Times New Roman"/>
          <w:b/>
          <w:sz w:val="28"/>
        </w:rPr>
        <w:tab/>
        <w:t>Höhere Gewa</w:t>
      </w:r>
      <w:r>
        <w:rPr>
          <w:rFonts w:ascii="Times New Roman" w:hAnsi="Times New Roman"/>
          <w:b/>
          <w:sz w:val="28"/>
        </w:rPr>
        <w:t>lt</w:t>
      </w:r>
    </w:p>
    <w:p w:rsidR="00DD2B1C" w:rsidRDefault="00AD3720" w:rsidP="009C3754">
      <w:pPr>
        <w:pStyle w:val="a3"/>
        <w:spacing w:afterLines="50" w:after="120"/>
        <w:ind w:left="420"/>
        <w:jc w:val="both"/>
        <w:rPr>
          <w:rFonts w:ascii="Times New Roman" w:hAnsi="Times New Roman"/>
        </w:rPr>
      </w:pPr>
      <w:r>
        <w:rPr>
          <w:rFonts w:ascii="Times New Roman" w:hAnsi="Times New Roman"/>
        </w:rPr>
        <w:t>Aiko haftet nicht gegenüber dem Kunden, falls Aiko aufgrund von höherer Gewalt – wie Kriegen, Katastrophen, Unruhen, Streiks, Mangel an geeigneten oder ausreichenden Arbeitskräften, Materialien, Technologien oder Produktionskapazitäten – sowie unvorhersehb</w:t>
      </w:r>
      <w:r>
        <w:rPr>
          <w:rFonts w:ascii="Times New Roman" w:hAnsi="Times New Roman"/>
        </w:rPr>
        <w:t>arer Ereignisse außerhalb des Einflussbereichs von Aiko seine Verpflichtungen aus dieser begrenzten Garantie nicht erfüllen oder die Erfüllung verzögern sollte.</w:t>
      </w:r>
    </w:p>
    <w:p w:rsidR="00EB0005" w:rsidRPr="009C3754" w:rsidRDefault="00AD3720" w:rsidP="009C3754">
      <w:pPr>
        <w:pStyle w:val="a3"/>
        <w:spacing w:afterLines="50" w:after="120"/>
        <w:ind w:left="420"/>
        <w:jc w:val="both"/>
        <w:rPr>
          <w:rFonts w:ascii="Times New Roman" w:eastAsia="宋体" w:hAnsi="Times New Roman" w:cs="Times New Roman"/>
        </w:rPr>
      </w:pPr>
      <w:r>
        <w:rPr>
          <w:rFonts w:ascii="Times New Roman" w:hAnsi="Times New Roman"/>
        </w:rPr>
        <w:t>Dies umfasst insbesondere technische oder physische Ereignisse oder Umstände, die Aiko zum Zeit</w:t>
      </w:r>
      <w:r>
        <w:rPr>
          <w:rFonts w:ascii="Times New Roman" w:hAnsi="Times New Roman"/>
        </w:rPr>
        <w:t>punkt des Verkaufs der fehlerhaften Produkte oder bei der Einreichung des Garantieanspruchs nicht vernünftigerweise hätte erkennen oder wissen können.</w:t>
      </w:r>
    </w:p>
    <w:p w:rsidR="00EB0005" w:rsidRPr="009C3754" w:rsidRDefault="00AD3720" w:rsidP="009C3754">
      <w:pPr>
        <w:pStyle w:val="a3"/>
        <w:spacing w:afterLines="50" w:after="120"/>
        <w:jc w:val="both"/>
        <w:rPr>
          <w:rFonts w:ascii="Times New Roman" w:eastAsia="宋体" w:hAnsi="Times New Roman" w:cs="Times New Roman"/>
          <w:sz w:val="28"/>
          <w:szCs w:val="28"/>
        </w:rPr>
      </w:pPr>
      <w:r>
        <w:rPr>
          <w:rFonts w:ascii="Times New Roman" w:hAnsi="Times New Roman"/>
          <w:b/>
          <w:sz w:val="28"/>
        </w:rPr>
        <w:t>11.</w:t>
      </w:r>
      <w:r>
        <w:rPr>
          <w:rFonts w:ascii="Times New Roman" w:hAnsi="Times New Roman"/>
          <w:b/>
          <w:sz w:val="28"/>
        </w:rPr>
        <w:tab/>
        <w:t>Keine andere ausdrückliche Garantie</w:t>
      </w:r>
    </w:p>
    <w:p w:rsidR="00D06F0A" w:rsidRDefault="00AD3720" w:rsidP="009C3754">
      <w:pPr>
        <w:pStyle w:val="a3"/>
        <w:spacing w:afterLines="50" w:after="120"/>
        <w:ind w:left="420"/>
        <w:jc w:val="both"/>
        <w:rPr>
          <w:rFonts w:ascii="Times New Roman" w:eastAsia="宋体" w:hAnsi="Times New Roman" w:cs="Times New Roman"/>
          <w:spacing w:val="-1"/>
        </w:rPr>
      </w:pPr>
      <w:r>
        <w:rPr>
          <w:rFonts w:ascii="Times New Roman" w:hAnsi="Times New Roman"/>
        </w:rPr>
        <w:t>Diese begrenzte Garantie ist die einzige ausdrückliche Garantie (</w:t>
      </w:r>
      <w:r>
        <w:rPr>
          <w:rFonts w:ascii="Times New Roman" w:hAnsi="Times New Roman"/>
        </w:rPr>
        <w:t>ob schriftlich oder mündlich), die dem Kunden hinsichtlich der Produkte gewährt wird, sofern nicht durch anwendbare Gesetze anders vorgeschrieben oder durch Aiko schriftlich geändert; niemand ist berechtigt, diese begrenzte Garantie auf andere Weise zu bes</w:t>
      </w:r>
      <w:r>
        <w:rPr>
          <w:rFonts w:ascii="Times New Roman" w:hAnsi="Times New Roman"/>
        </w:rPr>
        <w:t>chränken, zu erweitern oder zu ändern.</w:t>
      </w:r>
    </w:p>
    <w:p w:rsidR="00D06F0A" w:rsidRDefault="00D06F0A">
      <w:pPr>
        <w:kinsoku/>
        <w:autoSpaceDE/>
        <w:autoSpaceDN/>
        <w:adjustRightInd/>
        <w:snapToGrid/>
        <w:spacing w:line="278" w:lineRule="auto"/>
        <w:textAlignment w:val="auto"/>
        <w:rPr>
          <w:rFonts w:ascii="Times New Roman" w:eastAsia="宋体" w:hAnsi="Times New Roman" w:cs="Times New Roman"/>
          <w:spacing w:val="-1"/>
          <w:sz w:val="22"/>
          <w:szCs w:val="22"/>
        </w:rPr>
      </w:pPr>
      <w:r>
        <w:br w:type="page"/>
      </w:r>
    </w:p>
    <w:p w:rsidR="009C3754" w:rsidRDefault="00DC3326" w:rsidP="00DC3326">
      <w:pPr>
        <w:spacing w:afterLines="50" w:after="120"/>
        <w:jc w:val="center"/>
        <w:rPr>
          <w:rFonts w:ascii="Times New Roman" w:eastAsia="宋体" w:hAnsi="Times New Roman" w:cs="Times New Roman"/>
        </w:rPr>
      </w:pPr>
      <w:r>
        <w:rPr>
          <w:rFonts w:ascii="Times New Roman" w:hAnsi="Times New Roman"/>
          <w:lang w:val="en-US" w:eastAsia="zh-CN"/>
        </w:rPr>
        <w:drawing>
          <wp:inline distT="0" distB="0" distL="0" distR="0" wp14:anchorId="484F19D1" wp14:editId="1D9E3E38">
            <wp:extent cx="6122034" cy="5531738"/>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2"/>
                    <a:stretch>
                      <a:fillRect/>
                    </a:stretch>
                  </pic:blipFill>
                  <pic:spPr>
                    <a:xfrm>
                      <a:off x="0" y="0"/>
                      <a:ext cx="6122034" cy="5531738"/>
                    </a:xfrm>
                    <a:prstGeom prst="rect">
                      <a:avLst/>
                    </a:prstGeom>
                  </pic:spPr>
                </pic:pic>
              </a:graphicData>
            </a:graphic>
          </wp:inline>
        </w:drawing>
      </w:r>
    </w:p>
    <w:p w:rsidR="00DC3326" w:rsidRDefault="00DC3326" w:rsidP="009C3754">
      <w:pPr>
        <w:spacing w:afterLines="50" w:after="120"/>
        <w:jc w:val="both"/>
        <w:rPr>
          <w:rFonts w:ascii="Times New Roman" w:eastAsia="宋体" w:hAnsi="Times New Roman" w:cs="Times New Roman"/>
          <w:lang w:eastAsia="zh-CN"/>
        </w:rPr>
      </w:pPr>
    </w:p>
    <w:p w:rsidR="00EB0005" w:rsidRPr="009C3754" w:rsidRDefault="00AD3720" w:rsidP="009C3754">
      <w:pPr>
        <w:spacing w:afterLines="50" w:after="120"/>
        <w:jc w:val="both"/>
        <w:rPr>
          <w:rFonts w:ascii="Times New Roman" w:eastAsia="宋体" w:hAnsi="Times New Roman" w:cs="Times New Roman"/>
          <w:sz w:val="22"/>
          <w:szCs w:val="22"/>
        </w:rPr>
      </w:pPr>
      <w:r>
        <w:rPr>
          <w:rFonts w:ascii="Times New Roman" w:hAnsi="Times New Roman"/>
          <w:sz w:val="22"/>
        </w:rPr>
        <w:t>Zhejiang Aiko Solar Technology Co., Ltd</w:t>
      </w:r>
    </w:p>
    <w:p w:rsidR="00DC3326" w:rsidRDefault="00AD3720" w:rsidP="009C3754">
      <w:pPr>
        <w:spacing w:afterLines="50" w:after="120"/>
        <w:jc w:val="both"/>
        <w:rPr>
          <w:rFonts w:ascii="Times New Roman" w:eastAsia="宋体" w:hAnsi="Times New Roman" w:cs="Times New Roman"/>
          <w:sz w:val="22"/>
          <w:szCs w:val="22"/>
        </w:rPr>
      </w:pPr>
      <w:r>
        <w:rPr>
          <w:rFonts w:ascii="Times New Roman" w:hAnsi="Times New Roman"/>
          <w:sz w:val="22"/>
        </w:rPr>
        <w:t xml:space="preserve">Nr. 655, Haopai Straße, Suxi-Stadt, Yiwu, 322009 Zhejiang, VR China China </w:t>
      </w:r>
    </w:p>
    <w:p w:rsidR="00EB0005" w:rsidRPr="009C3754" w:rsidRDefault="00AD3720" w:rsidP="009C3754">
      <w:pPr>
        <w:spacing w:afterLines="50" w:after="120"/>
        <w:jc w:val="both"/>
        <w:rPr>
          <w:rFonts w:ascii="Times New Roman" w:eastAsia="宋体" w:hAnsi="Times New Roman" w:cs="Times New Roman"/>
          <w:sz w:val="22"/>
          <w:szCs w:val="22"/>
        </w:rPr>
      </w:pPr>
      <w:r>
        <w:rPr>
          <w:rFonts w:ascii="Times New Roman" w:hAnsi="Times New Roman"/>
          <w:sz w:val="22"/>
        </w:rPr>
        <w:t>E-Mail:</w:t>
      </w:r>
    </w:p>
    <w:p w:rsidR="00EB0005" w:rsidRPr="009C3754" w:rsidRDefault="00AD3720" w:rsidP="009C3754">
      <w:pPr>
        <w:spacing w:afterLines="50" w:after="120"/>
        <w:jc w:val="both"/>
        <w:rPr>
          <w:rFonts w:ascii="Times New Roman" w:eastAsia="宋体" w:hAnsi="Times New Roman" w:cs="Times New Roman"/>
          <w:sz w:val="22"/>
          <w:szCs w:val="22"/>
        </w:rPr>
      </w:pPr>
      <w:r>
        <w:rPr>
          <w:rFonts w:ascii="Times New Roman" w:hAnsi="Times New Roman"/>
          <w:sz w:val="22"/>
        </w:rPr>
        <w:t>cs@aikosolar.com</w:t>
      </w:r>
    </w:p>
    <w:p w:rsidR="00EB0005" w:rsidRPr="009C3754" w:rsidRDefault="00AD3720" w:rsidP="009C3754">
      <w:pPr>
        <w:spacing w:afterLines="50" w:after="120"/>
        <w:jc w:val="both"/>
        <w:rPr>
          <w:rFonts w:ascii="Times New Roman" w:eastAsia="宋体" w:hAnsi="Times New Roman" w:cs="Times New Roman"/>
          <w:sz w:val="22"/>
          <w:szCs w:val="22"/>
        </w:rPr>
      </w:pPr>
      <w:r>
        <w:rPr>
          <w:rFonts w:ascii="Times New Roman" w:hAnsi="Times New Roman"/>
          <w:sz w:val="22"/>
        </w:rPr>
        <w:t>aftersales@aikosolar.com (nur Europa)</w:t>
      </w:r>
    </w:p>
    <w:p w:rsidR="00EB0005" w:rsidRPr="009C3754" w:rsidRDefault="00AD3720" w:rsidP="009C3754">
      <w:pPr>
        <w:spacing w:afterLines="50" w:after="120"/>
        <w:jc w:val="both"/>
        <w:rPr>
          <w:rFonts w:ascii="Times New Roman" w:eastAsia="宋体" w:hAnsi="Times New Roman" w:cs="Times New Roman"/>
          <w:sz w:val="22"/>
          <w:szCs w:val="22"/>
        </w:rPr>
      </w:pPr>
      <w:r>
        <w:rPr>
          <w:rFonts w:ascii="Times New Roman" w:hAnsi="Times New Roman"/>
          <w:sz w:val="22"/>
        </w:rPr>
        <w:t>marketing@aikosolar.com</w:t>
      </w:r>
    </w:p>
    <w:p w:rsidR="00EB0005" w:rsidRPr="009C3754" w:rsidRDefault="00AD3720" w:rsidP="009C3754">
      <w:pPr>
        <w:spacing w:afterLines="50" w:after="120"/>
        <w:jc w:val="both"/>
        <w:rPr>
          <w:rFonts w:ascii="Times New Roman" w:eastAsia="宋体" w:hAnsi="Times New Roman" w:cs="Times New Roman"/>
          <w:sz w:val="22"/>
          <w:szCs w:val="22"/>
        </w:rPr>
      </w:pPr>
      <w:r>
        <w:rPr>
          <w:rFonts w:ascii="Times New Roman" w:hAnsi="Times New Roman"/>
          <w:sz w:val="22"/>
        </w:rPr>
        <w:t>Web:</w:t>
      </w:r>
    </w:p>
    <w:p w:rsidR="00DC3326" w:rsidRDefault="00AD3720" w:rsidP="009C3754">
      <w:pPr>
        <w:spacing w:afterLines="50" w:after="120"/>
        <w:jc w:val="both"/>
        <w:rPr>
          <w:rFonts w:ascii="Times New Roman" w:eastAsia="宋体" w:hAnsi="Times New Roman" w:cs="Times New Roman"/>
          <w:sz w:val="22"/>
          <w:szCs w:val="22"/>
        </w:rPr>
      </w:pPr>
      <w:hyperlink r:id="rId13" w:history="1">
        <w:r>
          <w:rPr>
            <w:rFonts w:ascii="Times New Roman" w:hAnsi="Times New Roman"/>
            <w:sz w:val="22"/>
          </w:rPr>
          <w:t>www.aikosolar.com</w:t>
        </w:r>
      </w:hyperlink>
      <w:r>
        <w:rPr>
          <w:rFonts w:ascii="Times New Roman" w:hAnsi="Times New Roman"/>
          <w:sz w:val="22"/>
        </w:rPr>
        <w:t xml:space="preserve"> </w:t>
      </w:r>
    </w:p>
    <w:p w:rsidR="00EB0005" w:rsidRPr="009C3754" w:rsidRDefault="00AD3720" w:rsidP="00AD3720">
      <w:pPr>
        <w:spacing w:afterLines="50" w:after="120"/>
        <w:jc w:val="both"/>
        <w:rPr>
          <w:rFonts w:ascii="Times New Roman" w:eastAsia="宋体" w:hAnsi="Times New Roman" w:cs="Times New Roman"/>
          <w:sz w:val="22"/>
          <w:szCs w:val="22"/>
        </w:rPr>
      </w:pPr>
      <w:hyperlink r:id="rId14" w:history="1">
        <w:r>
          <w:rPr>
            <w:rFonts w:ascii="Times New Roman" w:hAnsi="Times New Roman"/>
            <w:sz w:val="22"/>
          </w:rPr>
          <w:t>Tel.:</w:t>
        </w:r>
      </w:hyperlink>
      <w:r>
        <w:rPr>
          <w:rFonts w:ascii="Times New Roman" w:eastAsia="宋体" w:hAnsi="Times New Roman" w:cs="Times New Roman" w:hint="eastAsia"/>
          <w:sz w:val="22"/>
          <w:szCs w:val="22"/>
          <w:lang w:eastAsia="zh-CN"/>
        </w:rPr>
        <w:t xml:space="preserve"> </w:t>
      </w:r>
      <w:bookmarkStart w:id="0" w:name="_GoBack"/>
      <w:bookmarkEnd w:id="0"/>
      <w:r>
        <w:rPr>
          <w:rFonts w:ascii="Times New Roman" w:hAnsi="Times New Roman"/>
          <w:sz w:val="22"/>
        </w:rPr>
        <w:t>4009898618</w:t>
      </w:r>
    </w:p>
    <w:sectPr w:rsidR="00EB0005" w:rsidRPr="009C3754" w:rsidSect="009C3754">
      <w:headerReference w:type="even" r:id="rId15"/>
      <w:headerReference w:type="default" r:id="rId16"/>
      <w:footerReference w:type="even" r:id="rId17"/>
      <w:footerReference w:type="default" r:id="rId18"/>
      <w:headerReference w:type="first" r:id="rId19"/>
      <w:footerReference w:type="first" r:id="rId20"/>
      <w:pgSz w:w="11912" w:h="16841" w:code="9"/>
      <w:pgMar w:top="1134" w:right="1134" w:bottom="1134" w:left="1134" w:header="709" w:footer="709"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CB5" w:rsidRDefault="00C21CB5">
      <w:pPr>
        <w:spacing w:after="0"/>
      </w:pPr>
      <w:r>
        <w:separator/>
      </w:r>
    </w:p>
  </w:endnote>
  <w:endnote w:type="continuationSeparator" w:id="0">
    <w:p w:rsidR="00C21CB5" w:rsidRDefault="00C21CB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54" w:rsidRPr="00140AC2" w:rsidRDefault="009C3754" w:rsidP="009C3754">
    <w:pPr>
      <w:pStyle w:val="a3"/>
      <w:spacing w:afterLines="50" w:after="120"/>
      <w:jc w:val="center"/>
      <w:rPr>
        <w:rFonts w:ascii="Times New Roman" w:eastAsia="宋体" w:hAnsi="Times New Roman" w:cs="Times New Roman"/>
        <w:sz w:val="15"/>
        <w:szCs w:val="15"/>
      </w:rPr>
    </w:pPr>
    <w:r>
      <w:rPr>
        <w:lang w:val="en-US" w:eastAsia="zh-CN"/>
      </w:rPr>
      <w:drawing>
        <wp:anchor distT="0" distB="0" distL="114300" distR="114300" simplePos="0" relativeHeight="251678208" behindDoc="0" locked="0" layoutInCell="1" allowOverlap="1" wp14:anchorId="7A5D35F3" wp14:editId="64EBA6AF">
          <wp:simplePos x="0" y="0"/>
          <wp:positionH relativeFrom="column">
            <wp:posOffset>-719455</wp:posOffset>
          </wp:positionH>
          <wp:positionV relativeFrom="paragraph">
            <wp:posOffset>2162</wp:posOffset>
          </wp:positionV>
          <wp:extent cx="720000" cy="699257"/>
          <wp:effectExtent l="0" t="0" r="4445" b="5715"/>
          <wp:wrapNone/>
          <wp:docPr id="12321387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15"/>
      </w:rPr>
      <w:t>Aiko ist der Eigentümer dieses Dokuments und eine Veröffentlichung ohne Genehmigung ist untersagt.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54" w:rsidRPr="00140AC2" w:rsidRDefault="009C3754" w:rsidP="009C3754">
    <w:pPr>
      <w:pStyle w:val="a3"/>
      <w:spacing w:afterLines="50" w:after="120"/>
      <w:jc w:val="center"/>
      <w:rPr>
        <w:rFonts w:ascii="Times New Roman" w:eastAsia="宋体" w:hAnsi="Times New Roman" w:cs="Times New Roman"/>
        <w:sz w:val="15"/>
        <w:szCs w:val="15"/>
      </w:rPr>
    </w:pPr>
    <w:r>
      <w:rPr>
        <w:lang w:val="en-US" w:eastAsia="zh-CN"/>
      </w:rPr>
      <w:drawing>
        <wp:anchor distT="0" distB="0" distL="114300" distR="114300" simplePos="0" relativeHeight="251679232" behindDoc="0" locked="0" layoutInCell="1" allowOverlap="1" wp14:anchorId="66B043B3" wp14:editId="1322273C">
          <wp:simplePos x="0" y="0"/>
          <wp:positionH relativeFrom="column">
            <wp:posOffset>6114443</wp:posOffset>
          </wp:positionH>
          <wp:positionV relativeFrom="paragraph">
            <wp:posOffset>14917</wp:posOffset>
          </wp:positionV>
          <wp:extent cx="720000" cy="699257"/>
          <wp:effectExtent l="0" t="0" r="4445" b="5715"/>
          <wp:wrapNone/>
          <wp:docPr id="16431224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sz w:val="15"/>
      </w:rPr>
      <w:t>Aiko ist der Eigentümer dieses Dokuments und eine Veröffentlichung ohne Genehmigung ist untersagt.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54" w:rsidRDefault="009C3754" w:rsidP="009C3754">
    <w:pPr>
      <w:pStyle w:val="a6"/>
    </w:pPr>
    <w:r>
      <w:rPr>
        <w:lang w:val="en-US" w:eastAsia="zh-CN"/>
      </w:rPr>
      <w:drawing>
        <wp:anchor distT="0" distB="0" distL="114300" distR="114300" simplePos="0" relativeHeight="251652608" behindDoc="0" locked="0" layoutInCell="1" allowOverlap="1" wp14:anchorId="49ABEBA2" wp14:editId="637B90B3">
          <wp:simplePos x="0" y="0"/>
          <wp:positionH relativeFrom="column">
            <wp:posOffset>-709930</wp:posOffset>
          </wp:positionH>
          <wp:positionV relativeFrom="paragraph">
            <wp:posOffset>-31170</wp:posOffset>
          </wp:positionV>
          <wp:extent cx="720000" cy="699257"/>
          <wp:effectExtent l="0" t="0" r="4445" b="5715"/>
          <wp:wrapNone/>
          <wp:docPr id="76089395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699257"/>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CB5" w:rsidRDefault="00C21CB5">
      <w:pPr>
        <w:spacing w:after="0"/>
      </w:pPr>
      <w:r>
        <w:separator/>
      </w:r>
    </w:p>
  </w:footnote>
  <w:footnote w:type="continuationSeparator" w:id="0">
    <w:p w:rsidR="00C21CB5" w:rsidRDefault="00C21CB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54" w:rsidRDefault="009C3754" w:rsidP="009C3754">
    <w:pPr>
      <w:pStyle w:val="a4"/>
      <w:jc w:val="right"/>
    </w:pPr>
    <w:r>
      <w:rPr>
        <w:lang w:val="en-US" w:eastAsia="zh-CN"/>
      </w:rPr>
      <w:drawing>
        <wp:inline distT="0" distB="0" distL="0" distR="0" wp14:anchorId="4FC6BDF7" wp14:editId="16727BA2">
          <wp:extent cx="1080000" cy="288814"/>
          <wp:effectExtent l="0" t="0" r="6350" b="0"/>
          <wp:docPr id="11573224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1"/>
                  <a:stretch>
                    <a:fillRect/>
                  </a:stretch>
                </pic:blipFill>
                <pic:spPr>
                  <a:xfrm>
                    <a:off x="0" y="0"/>
                    <a:ext cx="1080000" cy="288814"/>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54" w:rsidRDefault="009C3754" w:rsidP="009C3754">
    <w:pPr>
      <w:pStyle w:val="a4"/>
      <w:jc w:val="right"/>
    </w:pPr>
    <w:r>
      <w:rPr>
        <w:lang w:val="en-US" w:eastAsia="zh-CN"/>
      </w:rPr>
      <w:drawing>
        <wp:inline distT="0" distB="0" distL="0" distR="0" wp14:anchorId="4FC6BDF7" wp14:editId="16727BA2">
          <wp:extent cx="1080000" cy="288814"/>
          <wp:effectExtent l="0" t="0" r="6350" b="0"/>
          <wp:docPr id="18519566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7911" name=""/>
                  <pic:cNvPicPr/>
                </pic:nvPicPr>
                <pic:blipFill>
                  <a:blip r:embed="rId1"/>
                  <a:stretch>
                    <a:fillRect/>
                  </a:stretch>
                </pic:blipFill>
                <pic:spPr>
                  <a:xfrm>
                    <a:off x="0" y="0"/>
                    <a:ext cx="1080000" cy="288814"/>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3754" w:rsidRDefault="009C3754">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3C03A3"/>
    <w:multiLevelType w:val="hybridMultilevel"/>
    <w:tmpl w:val="712E8DBA"/>
    <w:lvl w:ilvl="0" w:tplc="62664066">
      <w:numFmt w:val="bullet"/>
      <w:lvlText w:val=""/>
      <w:lvlJc w:val="left"/>
      <w:pPr>
        <w:ind w:left="440" w:hanging="440"/>
      </w:pPr>
      <w:rPr>
        <w:rFonts w:ascii="Wingdings" w:eastAsia="宋体"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isplayBackgroundShape/>
  <w:bordersDoNotSurroundHeader/>
  <w:bordersDoNotSurroundFooter/>
  <w:proofState w:grammar="clean"/>
  <w:defaultTabStop w:val="420"/>
  <w:evenAndOddHeaders/>
  <w:characterSpacingControl w:val="doNotCompress"/>
  <w:hdrShapeDefaults>
    <o:shapedefaults v:ext="edit" spidmax="2050"/>
  </w:hdrShapeDefaults>
  <w:footnotePr>
    <w:footnote w:id="-1"/>
    <w:footnote w:id="0"/>
  </w:footnotePr>
  <w:endnotePr>
    <w:endnote w:id="-1"/>
    <w:endnote w:id="0"/>
  </w:endnotePr>
  <w:compat>
    <w:spaceForUL/>
    <w:ulTrailSpace/>
    <w:useFELayout/>
    <w:compatSetting w:name="compatibilityMode" w:uri="http://schemas.microsoft.com/office/word" w:val="14"/>
  </w:compat>
  <w:rsids>
    <w:rsidRoot w:val="00EB0005"/>
    <w:rsid w:val="002464A6"/>
    <w:rsid w:val="00715B8F"/>
    <w:rsid w:val="009216DB"/>
    <w:rsid w:val="009C3754"/>
    <w:rsid w:val="00AD3720"/>
    <w:rsid w:val="00C21CB5"/>
    <w:rsid w:val="00D06F0A"/>
    <w:rsid w:val="00DC3326"/>
    <w:rsid w:val="00DD2B1C"/>
    <w:rsid w:val="00EB00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56F572"/>
  <w15:docId w15:val="{FE66661A-6A32-4C18-8D40-E9A4756F6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EastAsia" w:hAnsi="Arial" w:cs="Arial"/>
        <w:snapToGrid w:val="0"/>
        <w:color w:val="000000"/>
        <w:sz w:val="21"/>
        <w:szCs w:val="21"/>
        <w:lang w:val="de-DE" w:eastAsia="en-US" w:bidi="ar-SA"/>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kinsoku w:val="0"/>
      <w:autoSpaceDE w:val="0"/>
      <w:autoSpaceDN w:val="0"/>
      <w:adjustRightInd w:val="0"/>
      <w:snapToGrid w:val="0"/>
      <w:spacing w:line="240" w:lineRule="auto"/>
      <w:textAlignment w:val="baseline"/>
    </w:pPr>
    <w:rPr>
      <w:noProo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semiHidden/>
    <w:unhideWhenUsed/>
    <w:qFormat/>
    <w:tblPr>
      <w:tblCellMar>
        <w:top w:w="0" w:type="dxa"/>
        <w:left w:w="0" w:type="dxa"/>
        <w:bottom w:w="0" w:type="dxa"/>
        <w:right w:w="0" w:type="dxa"/>
      </w:tblCellMar>
    </w:tblPr>
  </w:style>
  <w:style w:type="paragraph" w:styleId="a3">
    <w:name w:val="Body Text"/>
    <w:basedOn w:val="a"/>
    <w:semiHidden/>
    <w:qFormat/>
    <w:rPr>
      <w:rFonts w:eastAsia="Arial"/>
      <w:sz w:val="22"/>
      <w:szCs w:val="22"/>
    </w:rPr>
  </w:style>
  <w:style w:type="paragraph" w:customStyle="1" w:styleId="TableText">
    <w:name w:val="Table Text"/>
    <w:basedOn w:val="a"/>
    <w:semiHidden/>
    <w:qFormat/>
    <w:rPr>
      <w:rFonts w:eastAsia="Arial"/>
      <w:sz w:val="22"/>
      <w:szCs w:val="22"/>
    </w:rPr>
  </w:style>
  <w:style w:type="paragraph" w:styleId="a4">
    <w:name w:val="header"/>
    <w:basedOn w:val="a"/>
    <w:link w:val="a5"/>
    <w:uiPriority w:val="99"/>
    <w:unhideWhenUsed/>
    <w:rsid w:val="009C3754"/>
    <w:pPr>
      <w:tabs>
        <w:tab w:val="center" w:pos="4153"/>
        <w:tab w:val="right" w:pos="8306"/>
      </w:tabs>
      <w:jc w:val="center"/>
    </w:pPr>
    <w:rPr>
      <w:sz w:val="18"/>
      <w:szCs w:val="18"/>
    </w:rPr>
  </w:style>
  <w:style w:type="character" w:customStyle="1" w:styleId="a5">
    <w:name w:val="页眉 字符"/>
    <w:basedOn w:val="a0"/>
    <w:link w:val="a4"/>
    <w:uiPriority w:val="99"/>
    <w:rsid w:val="009C3754"/>
    <w:rPr>
      <w:noProof/>
      <w:sz w:val="18"/>
      <w:szCs w:val="18"/>
    </w:rPr>
  </w:style>
  <w:style w:type="paragraph" w:styleId="a6">
    <w:name w:val="footer"/>
    <w:basedOn w:val="a"/>
    <w:link w:val="a7"/>
    <w:uiPriority w:val="99"/>
    <w:unhideWhenUsed/>
    <w:rsid w:val="009C3754"/>
    <w:pPr>
      <w:tabs>
        <w:tab w:val="center" w:pos="4153"/>
        <w:tab w:val="right" w:pos="8306"/>
      </w:tabs>
    </w:pPr>
    <w:rPr>
      <w:sz w:val="18"/>
      <w:szCs w:val="18"/>
    </w:rPr>
  </w:style>
  <w:style w:type="character" w:customStyle="1" w:styleId="a7">
    <w:name w:val="页脚 字符"/>
    <w:basedOn w:val="a0"/>
    <w:link w:val="a6"/>
    <w:uiPriority w:val="99"/>
    <w:rsid w:val="009C3754"/>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aikosolar.com"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s@aikosolar.co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aikosolar.com"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footer3.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2393D-0169-4E93-9555-6655F3A948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11402</Words>
  <Characters>11632</Characters>
  <Application>Microsoft Office Word</Application>
  <DocSecurity>0</DocSecurity>
  <Lines>528</Lines>
  <Paragraphs>426</Paragraphs>
  <ScaleCrop>false</ScaleCrop>
  <Company/>
  <LinksUpToDate>false</LinksUpToDate>
  <CharactersWithSpaces>22608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20230601爱旭数字质保书-CN.cdr</dc:title>
  <dc:creator>Administrator</dc:creator>
  <cp:lastModifiedBy>L C</cp:lastModifiedBy>
  <cp:revision>10</cp:revision>
  <dcterms:created xsi:type="dcterms:W3CDTF">2025-07-17T13:04:00Z</dcterms:created>
  <dcterms:modified xsi:type="dcterms:W3CDTF">2025-10-15T09:56:00Z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2025-10-09T21:49:49Z</vt:filetime>
  </property>
</Properties>
</file>