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5678A3">
      <w:pPr>
        <w:pStyle w:val="34"/>
        <w:jc w:val="both"/>
        <w:rPr>
          <w:sz w:val="36"/>
          <w:szCs w:val="36"/>
        </w:rPr>
      </w:pPr>
      <w:r>
        <w:rPr>
          <w:sz w:val="36"/>
          <w:szCs w:val="36"/>
        </w:rPr>
        <w:t>AIKO Installer Community (AIC) – Terms and Conditions</w:t>
      </w:r>
    </w:p>
    <w:p w14:paraId="425EF89B">
      <w:pPr>
        <w:pStyle w:val="3"/>
        <w:numPr>
          <w:ilvl w:val="0"/>
          <w:numId w:val="7"/>
        </w:numPr>
        <w:jc w:val="both"/>
      </w:pPr>
      <w:r>
        <w:t>Scope</w:t>
      </w:r>
    </w:p>
    <w:p w14:paraId="507421A8">
      <w:pPr>
        <w:jc w:val="both"/>
      </w:pPr>
    </w:p>
    <w:p w14:paraId="123C1196">
      <w:pPr>
        <w:pStyle w:val="150"/>
        <w:widowControl w:val="0"/>
        <w:numPr>
          <w:ilvl w:val="1"/>
          <w:numId w:val="8"/>
        </w:numPr>
        <w:spacing w:after="0" w:line="240" w:lineRule="auto"/>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 xml:space="preserve">These terms and conditions (“T&amp;C) apply to European photovoltaic installers (“Installers”; as described in section 2.3. below) that participate in the </w:t>
      </w:r>
      <w:r>
        <w:rPr>
          <w:rFonts w:hint="eastAsia" w:eastAsia="宋体"/>
          <w:bCs/>
          <w:color w:val="000000" w:themeColor="text1"/>
          <w:szCs w:val="21"/>
          <w:lang w:eastAsia="zh-CN"/>
          <w14:textFill>
            <w14:solidFill>
              <w14:schemeClr w14:val="tx1"/>
            </w14:solidFill>
          </w14:textFill>
        </w:rPr>
        <w:t>AIKO</w:t>
      </w:r>
      <w:r>
        <w:rPr>
          <w:rFonts w:eastAsiaTheme="minorHAnsi"/>
          <w:bCs/>
          <w:color w:val="000000" w:themeColor="text1"/>
          <w:szCs w:val="21"/>
          <w14:textFill>
            <w14:solidFill>
              <w14:schemeClr w14:val="tx1"/>
            </w14:solidFill>
          </w14:textFill>
        </w:rPr>
        <w:t xml:space="preserve"> Installer Community (“AIC”; as described in section 2.1. below) program that is organized by </w:t>
      </w:r>
      <w:r>
        <w:t>AIKO Energy Germany GmbH ("AIKO").</w:t>
      </w:r>
    </w:p>
    <w:p w14:paraId="257B5C05">
      <w:pPr>
        <w:pStyle w:val="150"/>
        <w:widowControl w:val="0"/>
        <w:numPr>
          <w:ilvl w:val="1"/>
          <w:numId w:val="8"/>
        </w:numPr>
        <w:spacing w:after="0" w:line="240" w:lineRule="auto"/>
        <w:jc w:val="both"/>
        <w:rPr>
          <w:rFonts w:eastAsiaTheme="minorHAnsi"/>
          <w:bCs/>
          <w:color w:val="000000" w:themeColor="text1"/>
          <w:szCs w:val="21"/>
          <w14:textFill>
            <w14:solidFill>
              <w14:schemeClr w14:val="tx1"/>
            </w14:solidFill>
          </w14:textFill>
        </w:rPr>
      </w:pPr>
      <w:r>
        <w:rPr>
          <w:rFonts w:eastAsiaTheme="minorHAnsi"/>
          <w:color w:val="000000" w:themeColor="text1"/>
          <w14:textFill>
            <w14:solidFill>
              <w14:schemeClr w14:val="tx1"/>
            </w14:solidFill>
          </w14:textFill>
        </w:rPr>
        <w:t>By entering the AIC program each participant (“Participant”) accepts these T&amp;C together with any specific instructions and terms related to the program which may be mentioned in any electronic messages, or on the website, or communicated in any other way (“AIC Information”). Such AIC Information shall prevail in the event of there being any inconsistency between these terms and conditions and any AIC information.</w:t>
      </w:r>
    </w:p>
    <w:p w14:paraId="0885EBF5">
      <w:pPr>
        <w:pStyle w:val="150"/>
        <w:widowControl w:val="0"/>
        <w:numPr>
          <w:ilvl w:val="1"/>
          <w:numId w:val="8"/>
        </w:numPr>
        <w:spacing w:after="0" w:line="240" w:lineRule="auto"/>
        <w:contextualSpacing w:val="0"/>
        <w:jc w:val="both"/>
        <w:rPr>
          <w:rFonts w:eastAsiaTheme="minorHAnsi"/>
          <w:color w:val="000000" w:themeColor="text1"/>
          <w14:textFill>
            <w14:solidFill>
              <w14:schemeClr w14:val="tx1"/>
            </w14:solidFill>
          </w14:textFill>
        </w:rPr>
      </w:pPr>
      <w:r>
        <w:rPr>
          <w:rFonts w:eastAsiaTheme="minorHAnsi"/>
          <w:color w:val="000000" w:themeColor="text1"/>
          <w14:textFill>
            <w14:solidFill>
              <w14:schemeClr w14:val="tx1"/>
            </w14:solidFill>
          </w14:textFill>
        </w:rPr>
        <w:t xml:space="preserve">The AIC program starts on 01 </w:t>
      </w:r>
      <w:r>
        <w:rPr>
          <w:rFonts w:hint="eastAsia" w:eastAsia="宋体"/>
          <w:color w:val="000000" w:themeColor="text1"/>
          <w:lang w:val="en-US" w:eastAsia="zh-CN"/>
          <w14:textFill>
            <w14:solidFill>
              <w14:schemeClr w14:val="tx1"/>
            </w14:solidFill>
          </w14:textFill>
        </w:rPr>
        <w:t>May</w:t>
      </w:r>
      <w:r>
        <w:rPr>
          <w:rFonts w:eastAsiaTheme="minorHAnsi"/>
          <w:color w:val="000000" w:themeColor="text1"/>
          <w14:textFill>
            <w14:solidFill>
              <w14:schemeClr w14:val="tx1"/>
            </w14:solidFill>
          </w14:textFill>
        </w:rPr>
        <w:t xml:space="preserve"> 202</w:t>
      </w:r>
      <w:r>
        <w:rPr>
          <w:rFonts w:hint="eastAsia" w:eastAsia="宋体"/>
          <w:color w:val="000000" w:themeColor="text1"/>
          <w:lang w:val="en-US" w:eastAsia="zh-CN"/>
          <w14:textFill>
            <w14:solidFill>
              <w14:schemeClr w14:val="tx1"/>
            </w14:solidFill>
          </w14:textFill>
        </w:rPr>
        <w:t>4</w:t>
      </w:r>
      <w:r>
        <w:rPr>
          <w:rFonts w:eastAsiaTheme="minorHAnsi"/>
          <w:color w:val="000000" w:themeColor="text1"/>
          <w14:textFill>
            <w14:solidFill>
              <w14:schemeClr w14:val="tx1"/>
            </w14:solidFill>
          </w14:textFill>
        </w:rPr>
        <w:t xml:space="preserve"> and lasts indefinitely. AIKO reserves the right to amend, suspend, or terminate the program, these T&amp;C, or any AIC-related information at any time without prior notice.</w:t>
      </w:r>
      <w:r>
        <w:rPr>
          <w:rFonts w:hint="eastAsia" w:eastAsiaTheme="minorHAnsi"/>
          <w:color w:val="000000" w:themeColor="text1"/>
          <w:lang w:val="en-US" w:eastAsia="zh-CN"/>
          <w14:textFill>
            <w14:solidFill>
              <w14:schemeClr w14:val="tx1"/>
            </w14:solidFill>
          </w14:textFill>
        </w:rPr>
        <w:t xml:space="preserve"> </w:t>
      </w:r>
      <w:r>
        <w:rPr>
          <w:rFonts w:eastAsiaTheme="minorHAnsi"/>
          <w:color w:val="000000" w:themeColor="text1"/>
          <w14:textFill>
            <w14:solidFill>
              <w14:schemeClr w14:val="tx1"/>
            </w14:solidFill>
          </w14:textFill>
        </w:rPr>
        <w:t>Relevant changes will be published simultaneously within these T&amp;C and on official AIC communication channels, including social media and the AIC website (https://aikosolar.com/en/installer-community). The AIC program is operated in accordance with applicable EU consumer protection and data protection regulations, including the General Data Protection Regulation (GDPR). Localized versions of these T&amp;C will be made available in the official languages of each market where AIKO operates.</w:t>
      </w:r>
    </w:p>
    <w:p w14:paraId="2CC2ECA1">
      <w:pPr>
        <w:pStyle w:val="3"/>
        <w:numPr>
          <w:ilvl w:val="0"/>
          <w:numId w:val="8"/>
        </w:numPr>
        <w:jc w:val="both"/>
      </w:pPr>
      <w:r>
        <w:t>Definitions</w:t>
      </w:r>
    </w:p>
    <w:p w14:paraId="4CFCA0AC">
      <w:pPr>
        <w:jc w:val="both"/>
      </w:pPr>
    </w:p>
    <w:p w14:paraId="12ACCB91">
      <w:pPr>
        <w:pStyle w:val="150"/>
        <w:numPr>
          <w:ilvl w:val="1"/>
          <w:numId w:val="8"/>
        </w:numPr>
        <w:jc w:val="both"/>
      </w:pPr>
      <w:r>
        <w:rPr>
          <w:rFonts w:hint="eastAsia" w:eastAsia="宋体"/>
          <w:lang w:eastAsia="zh-CN"/>
        </w:rPr>
        <w:t>AIKO</w:t>
      </w:r>
      <w:r>
        <w:t xml:space="preserve"> Installer Community: long-term project by </w:t>
      </w:r>
      <w:r>
        <w:rPr>
          <w:rFonts w:hint="eastAsia" w:eastAsia="宋体"/>
          <w:lang w:eastAsia="zh-CN"/>
        </w:rPr>
        <w:t>AIKO</w:t>
      </w:r>
      <w:r>
        <w:t xml:space="preserve"> Energy Germany GmbH for installers (see 2.3.) within the European Economic Area (“EEA”) that wish to participate and redeem gifts from their respective accumulated points (see 2.2.). </w:t>
      </w:r>
    </w:p>
    <w:p w14:paraId="0A0A2E6E">
      <w:pPr>
        <w:pStyle w:val="150"/>
        <w:numPr>
          <w:ilvl w:val="1"/>
          <w:numId w:val="8"/>
        </w:numPr>
        <w:jc w:val="both"/>
      </w:pPr>
      <w:r>
        <w:t>Points: Virtual units awarded to registered installers upon verified submission of eligible activities (e.g., invoice upload, certification). Points can be redeemed for gifts on the AIC platform.</w:t>
      </w:r>
    </w:p>
    <w:p w14:paraId="43A3E0A4">
      <w:pPr>
        <w:pStyle w:val="150"/>
        <w:numPr>
          <w:ilvl w:val="1"/>
          <w:numId w:val="8"/>
        </w:numPr>
        <w:jc w:val="both"/>
      </w:pPr>
      <w:r>
        <w:t>Installer: A legally registered solar installation company in the EEA that purchases and installs AIKO modules from authorized distributors and registers on the AIC platform (“Company Account”) as well as the said company’s employees (“Employee Account”).</w:t>
      </w:r>
    </w:p>
    <w:p w14:paraId="00EDD3A4">
      <w:pPr>
        <w:pStyle w:val="150"/>
        <w:numPr>
          <w:ilvl w:val="1"/>
          <w:numId w:val="8"/>
        </w:numPr>
        <w:jc w:val="both"/>
      </w:pPr>
      <w:r>
        <w:t>Participant: any eligible company and/or private person participating in the AIC program.</w:t>
      </w:r>
    </w:p>
    <w:p w14:paraId="3EDCE8CF">
      <w:pPr>
        <w:pStyle w:val="150"/>
        <w:numPr>
          <w:ilvl w:val="1"/>
          <w:numId w:val="8"/>
        </w:numPr>
        <w:jc w:val="both"/>
      </w:pPr>
      <w:r>
        <w:t>Gift: Physical goods or services made available in the AIC redemption platform (e.g., electronics, tools, vouchers, travel packages).</w:t>
      </w:r>
    </w:p>
    <w:p w14:paraId="3BDC29D0">
      <w:pPr>
        <w:pStyle w:val="150"/>
        <w:numPr>
          <w:ilvl w:val="1"/>
          <w:numId w:val="8"/>
        </w:numPr>
        <w:jc w:val="both"/>
      </w:pPr>
      <w:r>
        <w:t>Company Account: An account linked to a VAT number that holds Points and administrative rights for Gift redemptions.</w:t>
      </w:r>
    </w:p>
    <w:p w14:paraId="4329D2A3">
      <w:pPr>
        <w:pStyle w:val="150"/>
        <w:numPr>
          <w:ilvl w:val="1"/>
          <w:numId w:val="8"/>
        </w:numPr>
        <w:jc w:val="both"/>
      </w:pPr>
      <w:r>
        <w:t>Tiered Membership Level</w:t>
      </w:r>
      <w:r>
        <w:rPr>
          <w:rFonts w:hint="default"/>
          <w:lang w:val="en-US"/>
        </w:rPr>
        <w:t xml:space="preserve">: </w:t>
      </w:r>
      <w:r>
        <w:t xml:space="preserve">Tiered Membership Level refers to the installer’s classification within the AIC </w:t>
      </w:r>
      <w:r>
        <w:rPr>
          <w:rFonts w:hint="eastAsia" w:eastAsia="宋体"/>
          <w:lang w:val="en-US" w:eastAsia="zh-CN"/>
        </w:rPr>
        <w:tab/>
      </w:r>
      <w:r>
        <w:t xml:space="preserve">program (Certified, Silver, Gold, Diamond), determined by accumulated AIC </w:t>
      </w:r>
      <w:r>
        <w:rPr>
          <w:rFonts w:hint="eastAsia" w:eastAsia="宋体"/>
          <w:lang w:val="en-US" w:eastAsia="zh-CN"/>
        </w:rPr>
        <w:tab/>
      </w:r>
      <w:r>
        <w:t>points and/or verified sales performance.</w:t>
      </w:r>
    </w:p>
    <w:p w14:paraId="56B6138D">
      <w:pPr>
        <w:pStyle w:val="150"/>
        <w:numPr>
          <w:ilvl w:val="1"/>
          <w:numId w:val="8"/>
        </w:numPr>
        <w:jc w:val="both"/>
      </w:pPr>
      <w:r>
        <w:t>Tier Benefits</w:t>
      </w:r>
      <w:r>
        <w:rPr>
          <w:rFonts w:hint="default"/>
          <w:lang w:val="en-US"/>
        </w:rPr>
        <w:t xml:space="preserve">: </w:t>
      </w:r>
      <w:r>
        <w:t xml:space="preserve">Tier Benefits refer to non-cash privileges, discounts, recognition items, </w:t>
      </w:r>
      <w:r>
        <w:rPr>
          <w:rFonts w:hint="eastAsia" w:eastAsia="宋体"/>
          <w:lang w:val="en-US" w:eastAsia="zh-CN"/>
        </w:rPr>
        <w:tab/>
      </w:r>
      <w:r>
        <w:t xml:space="preserve">promotional exposure, marketing support, or access rights associated with </w:t>
      </w:r>
      <w:r>
        <w:rPr>
          <w:rFonts w:hint="eastAsia" w:eastAsia="宋体"/>
          <w:lang w:val="en-US" w:eastAsia="zh-CN"/>
        </w:rPr>
        <w:tab/>
      </w:r>
      <w:r>
        <w:t>each membership level.</w:t>
      </w:r>
    </w:p>
    <w:p w14:paraId="457E0400">
      <w:pPr>
        <w:pStyle w:val="150"/>
        <w:numPr>
          <w:ilvl w:val="0"/>
          <w:numId w:val="0"/>
        </w:numPr>
        <w:ind w:leftChars="0"/>
        <w:jc w:val="both"/>
      </w:pPr>
    </w:p>
    <w:p w14:paraId="083CE2FD">
      <w:pPr>
        <w:pStyle w:val="3"/>
        <w:numPr>
          <w:ilvl w:val="0"/>
          <w:numId w:val="8"/>
        </w:numPr>
        <w:ind w:left="360" w:leftChars="0" w:hanging="360" w:firstLineChars="0"/>
        <w:jc w:val="both"/>
      </w:pPr>
      <w:r>
        <w:t>Registration and Participation</w:t>
      </w:r>
    </w:p>
    <w:p w14:paraId="22DCAFE5">
      <w:pPr>
        <w:jc w:val="both"/>
      </w:pPr>
    </w:p>
    <w:p w14:paraId="0754AF93">
      <w:pPr>
        <w:pStyle w:val="150"/>
        <w:numPr>
          <w:ilvl w:val="1"/>
          <w:numId w:val="9"/>
        </w:numPr>
        <w:spacing w:after="0" w:line="240" w:lineRule="auto"/>
        <w:jc w:val="both"/>
        <w:textAlignment w:val="baseline"/>
        <w:rPr>
          <w:rFonts w:eastAsiaTheme="minorHAnsi"/>
          <w:color w:val="000000" w:themeColor="text1"/>
          <w14:textFill>
            <w14:solidFill>
              <w14:schemeClr w14:val="tx1"/>
            </w14:solidFill>
          </w14:textFill>
        </w:rPr>
      </w:pPr>
      <w:r>
        <w:t>Only Installers that both purchase and directly install AIKO products for end customers are eligible. Middlemen or resellers without actual installation responsibilities are excluded from the program.</w:t>
      </w:r>
    </w:p>
    <w:p w14:paraId="56E04389">
      <w:pPr>
        <w:pStyle w:val="150"/>
        <w:numPr>
          <w:ilvl w:val="1"/>
          <w:numId w:val="9"/>
        </w:numPr>
        <w:jc w:val="both"/>
      </w:pPr>
      <w:r>
        <w:t xml:space="preserve">Each company is identified by a unique VAT number. The first registrant is designated as the Company Administrator and holds the right to redeem Points for a Company Account. Administrators may assign admin rights to other employees within the same VAT entity. Multiple individuals from the same company may participate, but only one company account is permitted per VAT number. </w:t>
      </w:r>
    </w:p>
    <w:p w14:paraId="748BD441">
      <w:pPr>
        <w:pStyle w:val="150"/>
        <w:jc w:val="both"/>
      </w:pPr>
      <w:r>
        <w:t>Employees need to provide their company’s name and VAT number, their address as well as email-address and contact phone number in order to register for an Employee Account.</w:t>
      </w:r>
    </w:p>
    <w:p w14:paraId="335ABAA0">
      <w:pPr>
        <w:pStyle w:val="150"/>
        <w:numPr>
          <w:ilvl w:val="1"/>
          <w:numId w:val="9"/>
        </w:numPr>
        <w:spacing w:after="0" w:line="240" w:lineRule="auto"/>
        <w:jc w:val="both"/>
        <w:textAlignment w:val="baseline"/>
        <w:rPr>
          <w:rFonts w:eastAsiaTheme="minorHAnsi"/>
          <w:color w:val="000000" w:themeColor="text1"/>
          <w14:textFill>
            <w14:solidFill>
              <w14:schemeClr w14:val="tx1"/>
            </w14:solidFill>
          </w14:textFill>
        </w:rPr>
      </w:pPr>
      <w:r>
        <w:rPr>
          <w:rFonts w:eastAsiaTheme="minorHAnsi"/>
        </w:rPr>
        <w:t xml:space="preserve">AIKO will send a notification email to the Participants after their successful registration via their given </w:t>
      </w:r>
      <w:r>
        <w:rPr>
          <w:rFonts w:hint="eastAsia" w:eastAsiaTheme="minorHAnsi"/>
          <w:lang w:eastAsia="zh-CN"/>
        </w:rPr>
        <w:t>email</w:t>
      </w:r>
      <w:r>
        <w:rPr>
          <w:rFonts w:eastAsiaTheme="minorHAnsi"/>
          <w:lang w:eastAsia="zh-CN"/>
        </w:rPr>
        <w:t xml:space="preserve"> address. </w:t>
      </w:r>
      <w:r>
        <w:rPr>
          <w:rFonts w:eastAsiaTheme="minorHAnsi"/>
        </w:rPr>
        <w:t>If AIKO is unable to notify, and such is attributable to the Participant (e.g. wrongful or missing contact details), this may result in forfeiture of the Gift, without any further title for the Participant</w:t>
      </w:r>
      <w:r>
        <w:rPr>
          <w:rFonts w:eastAsiaTheme="minorHAnsi"/>
          <w:color w:val="EE0000"/>
        </w:rPr>
        <w:t>.</w:t>
      </w:r>
    </w:p>
    <w:p w14:paraId="3AB64D17">
      <w:pPr>
        <w:pStyle w:val="150"/>
        <w:numPr>
          <w:ilvl w:val="1"/>
          <w:numId w:val="9"/>
        </w:numPr>
        <w:spacing w:after="0" w:line="240" w:lineRule="auto"/>
        <w:contextualSpacing w:val="0"/>
        <w:jc w:val="both"/>
        <w:textAlignment w:val="baseline"/>
        <w:rPr>
          <w:rFonts w:eastAsiaTheme="minorHAnsi"/>
          <w:color w:val="000000" w:themeColor="text1"/>
          <w14:textFill>
            <w14:solidFill>
              <w14:schemeClr w14:val="tx1"/>
            </w14:solidFill>
          </w14:textFill>
        </w:rPr>
      </w:pPr>
      <w:r>
        <w:rPr>
          <w:rFonts w:eastAsiaTheme="minorHAnsi"/>
          <w:color w:val="000000" w:themeColor="text1"/>
          <w14:textFill>
            <w14:solidFill>
              <w14:schemeClr w14:val="tx1"/>
            </w14:solidFill>
          </w14:textFill>
        </w:rPr>
        <w:t>AIKO may in its sole discretion refuse to provide a Gift, or seek its recovery, in the event of non-entitlement under these terms or a Participant’s breach of these T&amp;C, AIKO website terms of use, fraud, dishonesty, or other inappropriate or improper conduct including but not limited to the use of technology which enables an entrant to evade charges or entry requirements.</w:t>
      </w:r>
    </w:p>
    <w:p w14:paraId="7EB83156">
      <w:pPr>
        <w:pStyle w:val="150"/>
        <w:numPr>
          <w:ilvl w:val="1"/>
          <w:numId w:val="9"/>
        </w:numPr>
        <w:spacing w:after="0" w:line="240" w:lineRule="auto"/>
        <w:jc w:val="both"/>
        <w:textAlignment w:val="baseline"/>
        <w:rPr>
          <w:rFonts w:eastAsiaTheme="minorHAnsi"/>
          <w:color w:val="000000" w:themeColor="text1"/>
          <w14:textFill>
            <w14:solidFill>
              <w14:schemeClr w14:val="tx1"/>
            </w14:solidFill>
          </w14:textFill>
        </w:rPr>
      </w:pPr>
      <w:r>
        <w:rPr>
          <w:rFonts w:eastAsiaTheme="minorHAnsi"/>
          <w:color w:val="000000" w:themeColor="text1"/>
          <w14:textFill>
            <w14:solidFill>
              <w14:schemeClr w14:val="tx1"/>
            </w14:solidFill>
          </w14:textFill>
        </w:rPr>
        <w:t xml:space="preserve">Any Participant who enters or attempts to enter the AIC program in a manner, which in AIKO’s determination, is contrary to these terms and conditions or by its nature is unfair to other entrants may be removed from the Competition at AIKO’s sole discretion. </w:t>
      </w:r>
      <w:r>
        <w:t>Confirmed violations will result in Point cancellation and permanent suspension. AIKO reserves the right to pursue legal action against fraudulent behavior.</w:t>
      </w:r>
    </w:p>
    <w:p w14:paraId="7B49A31B">
      <w:pPr>
        <w:pStyle w:val="150"/>
        <w:numPr>
          <w:ilvl w:val="1"/>
          <w:numId w:val="9"/>
        </w:numPr>
        <w:spacing w:after="0" w:line="240" w:lineRule="auto"/>
        <w:contextualSpacing w:val="0"/>
        <w:jc w:val="both"/>
        <w:textAlignment w:val="baseline"/>
        <w:rPr>
          <w:rFonts w:eastAsiaTheme="minorHAnsi"/>
          <w:color w:val="000000" w:themeColor="text1"/>
          <w14:textFill>
            <w14:solidFill>
              <w14:schemeClr w14:val="tx1"/>
            </w14:solidFill>
          </w14:textFill>
        </w:rPr>
      </w:pPr>
      <w:r>
        <w:rPr>
          <w:rFonts w:eastAsiaTheme="minorHAnsi"/>
          <w:color w:val="000000" w:themeColor="text1"/>
          <w14:textFill>
            <w14:solidFill>
              <w14:schemeClr w14:val="tx1"/>
            </w14:solidFill>
          </w14:textFill>
        </w:rPr>
        <w:t>AIKO reserves the right to modify, cancel, terminate or suspend the AIC program in whole or in part, at its sole discretion, in cases of force majeure and/or if it believes the Competition is not capable of being conducted as specified in these T&amp;C or in the event of a virus, computer bug or unauthorized human intervention or any other cause that is beyond the reasonable control of AIKO that could corrupt or affect the administration, security, impartiality, or normal course of the Competition.</w:t>
      </w:r>
    </w:p>
    <w:p w14:paraId="53032E2E">
      <w:pPr>
        <w:pStyle w:val="150"/>
        <w:numPr>
          <w:ilvl w:val="1"/>
          <w:numId w:val="9"/>
        </w:numPr>
        <w:spacing w:after="0" w:line="240" w:lineRule="auto"/>
        <w:contextualSpacing w:val="0"/>
        <w:jc w:val="both"/>
        <w:textAlignment w:val="baseline"/>
        <w:rPr>
          <w:rFonts w:eastAsiaTheme="minorHAnsi"/>
          <w:color w:val="000000" w:themeColor="text1"/>
          <w14:textFill>
            <w14:solidFill>
              <w14:schemeClr w14:val="tx1"/>
            </w14:solidFill>
          </w14:textFill>
        </w:rPr>
      </w:pPr>
      <w:r>
        <w:rPr>
          <w:rFonts w:eastAsiaTheme="minorHAnsi"/>
          <w:color w:val="000000" w:themeColor="text1"/>
          <w14:textFill>
            <w14:solidFill>
              <w14:schemeClr w14:val="tx1"/>
            </w14:solidFill>
          </w14:textFill>
        </w:rPr>
        <w:t>AIKO reserves the right, in its sole discretion, to withhold delivery of the Gift until such proof of eligibility and identity has been confirmed or if such proof is not produced on request or to disqualify the Participant from the competition.</w:t>
      </w:r>
    </w:p>
    <w:p w14:paraId="3C0F7FCA">
      <w:pPr>
        <w:pStyle w:val="150"/>
        <w:numPr>
          <w:ilvl w:val="1"/>
          <w:numId w:val="9"/>
        </w:numPr>
        <w:spacing w:after="0" w:line="240" w:lineRule="auto"/>
        <w:contextualSpacing w:val="0"/>
        <w:jc w:val="both"/>
        <w:textAlignment w:val="baseline"/>
        <w:rPr>
          <w:rFonts w:eastAsiaTheme="minorHAnsi"/>
          <w:color w:val="000000" w:themeColor="text1"/>
          <w14:textFill>
            <w14:solidFill>
              <w14:schemeClr w14:val="tx1"/>
            </w14:solidFill>
          </w14:textFill>
        </w:rPr>
      </w:pPr>
      <w:r>
        <w:rPr>
          <w:rFonts w:eastAsiaTheme="minorHAnsi"/>
          <w:color w:val="000000" w:themeColor="text1"/>
          <w14:textFill>
            <w14:solidFill>
              <w14:schemeClr w14:val="tx1"/>
            </w14:solidFill>
          </w14:textFill>
        </w:rPr>
        <w:t>Gifts will only be granted as stated: there is no entitlement to payment of the Gift. If one specified Gift is not available, AIKO will provide the qualified Participant with a similar Gift of corresponding value.</w:t>
      </w:r>
    </w:p>
    <w:p w14:paraId="4B178D55">
      <w:pPr>
        <w:pStyle w:val="150"/>
        <w:numPr>
          <w:numId w:val="0"/>
        </w:numPr>
        <w:spacing w:after="0" w:line="240" w:lineRule="auto"/>
        <w:ind w:leftChars="0"/>
        <w:contextualSpacing w:val="0"/>
        <w:jc w:val="both"/>
        <w:textAlignment w:val="baseline"/>
        <w:rPr>
          <w:rFonts w:eastAsiaTheme="minorHAnsi"/>
          <w:color w:val="000000" w:themeColor="text1"/>
          <w14:textFill>
            <w14:solidFill>
              <w14:schemeClr w14:val="tx1"/>
            </w14:solidFill>
          </w14:textFill>
        </w:rPr>
      </w:pPr>
    </w:p>
    <w:p w14:paraId="21312453">
      <w:pPr>
        <w:pStyle w:val="3"/>
        <w:numPr>
          <w:ilvl w:val="0"/>
          <w:numId w:val="9"/>
        </w:numPr>
        <w:ind w:left="360" w:leftChars="0" w:hanging="360" w:firstLineChars="0"/>
        <w:jc w:val="both"/>
        <w:rPr>
          <w:rFonts w:hint="eastAsia"/>
        </w:rPr>
      </w:pPr>
      <w:r>
        <w:rPr>
          <w:rFonts w:hint="eastAsia"/>
        </w:rPr>
        <w:t>Fraud, Misrepresentation and Non-Installer Participation</w:t>
      </w:r>
    </w:p>
    <w:p w14:paraId="68130860">
      <w:pPr>
        <w:pStyle w:val="150"/>
        <w:numPr>
          <w:numId w:val="0"/>
        </w:numPr>
        <w:spacing w:after="0" w:line="240" w:lineRule="auto"/>
        <w:ind w:leftChars="0" w:firstLine="720" w:firstLineChars="0"/>
        <w:contextualSpacing w:val="0"/>
        <w:jc w:val="both"/>
        <w:textAlignment w:val="baseline"/>
        <w:rPr>
          <w:rFonts w:hint="eastAsia" w:eastAsiaTheme="minorHAnsi"/>
          <w:color w:val="000000" w:themeColor="text1"/>
          <w14:textFill>
            <w14:solidFill>
              <w14:schemeClr w14:val="tx1"/>
            </w14:solidFill>
          </w14:textFill>
        </w:rPr>
      </w:pPr>
    </w:p>
    <w:p w14:paraId="3AB6F1A7">
      <w:pPr>
        <w:pStyle w:val="150"/>
        <w:numPr>
          <w:numId w:val="0"/>
        </w:numPr>
        <w:spacing w:after="0" w:line="240" w:lineRule="auto"/>
        <w:contextualSpacing w:val="0"/>
        <w:jc w:val="both"/>
        <w:textAlignment w:val="baseline"/>
        <w:rPr>
          <w:rFonts w:hint="eastAsia" w:eastAsiaTheme="minorHAnsi"/>
          <w:color w:val="000000" w:themeColor="text1"/>
          <w14:textFill>
            <w14:solidFill>
              <w14:schemeClr w14:val="tx1"/>
            </w14:solidFill>
          </w14:textFill>
        </w:rPr>
      </w:pPr>
      <w:r>
        <w:rPr>
          <w:rFonts w:hint="eastAsia" w:eastAsiaTheme="minorHAnsi"/>
          <w:color w:val="000000" w:themeColor="text1"/>
          <w14:textFill>
            <w14:solidFill>
              <w14:schemeClr w14:val="tx1"/>
            </w14:solidFill>
          </w14:textFill>
        </w:rPr>
        <w:t xml:space="preserve">Participation in the AIC program is strictly limited to legally registered professional solar installation companies that directly purchase and install </w:t>
      </w:r>
      <w:r>
        <w:rPr>
          <w:rFonts w:hint="eastAsia" w:eastAsiaTheme="minorHAnsi"/>
          <w:color w:val="000000" w:themeColor="text1"/>
          <w:lang w:val="en-US" w:eastAsia="zh-CN"/>
          <w14:textFill>
            <w14:solidFill>
              <w14:schemeClr w14:val="tx1"/>
            </w14:solidFill>
          </w14:textFill>
        </w:rPr>
        <w:tab/>
      </w:r>
      <w:r>
        <w:rPr>
          <w:rFonts w:hint="eastAsia" w:eastAsiaTheme="minorHAnsi"/>
          <w:color w:val="000000" w:themeColor="text1"/>
          <w14:textFill>
            <w14:solidFill>
              <w14:schemeClr w14:val="tx1"/>
            </w14:solidFill>
          </w14:textFill>
        </w:rPr>
        <w:t>AIKO products.</w:t>
      </w:r>
      <w:r>
        <w:rPr>
          <w:rFonts w:hint="eastAsia" w:eastAsiaTheme="minorHAnsi"/>
          <w:color w:val="000000" w:themeColor="text1"/>
          <w:lang w:val="en-US" w:eastAsia="zh-CN"/>
          <w14:textFill>
            <w14:solidFill>
              <w14:schemeClr w14:val="tx1"/>
            </w14:solidFill>
          </w14:textFill>
        </w:rPr>
        <w:t xml:space="preserve"> </w:t>
      </w:r>
    </w:p>
    <w:p w14:paraId="7547F34C">
      <w:pPr>
        <w:pStyle w:val="150"/>
        <w:numPr>
          <w:numId w:val="0"/>
        </w:numPr>
        <w:spacing w:after="0" w:line="240" w:lineRule="auto"/>
        <w:contextualSpacing w:val="0"/>
        <w:jc w:val="both"/>
        <w:textAlignment w:val="baseline"/>
        <w:rPr>
          <w:rFonts w:hint="eastAsia" w:eastAsiaTheme="minorHAnsi"/>
          <w:color w:val="000000" w:themeColor="text1"/>
          <w14:textFill>
            <w14:solidFill>
              <w14:schemeClr w14:val="tx1"/>
            </w14:solidFill>
          </w14:textFill>
        </w:rPr>
      </w:pPr>
      <w:r>
        <w:rPr>
          <w:rFonts w:hint="eastAsia" w:eastAsiaTheme="minorHAnsi"/>
          <w:color w:val="000000" w:themeColor="text1"/>
          <w14:textFill>
            <w14:solidFill>
              <w14:schemeClr w14:val="tx1"/>
            </w14:solidFill>
          </w14:textFill>
        </w:rPr>
        <w:t>In the event that AIKO determines, at its sole discretion and based on reasonable evidence, that:</w:t>
      </w:r>
    </w:p>
    <w:p w14:paraId="1E7D4711">
      <w:pPr>
        <w:pStyle w:val="150"/>
        <w:numPr>
          <w:ilvl w:val="0"/>
          <w:numId w:val="10"/>
        </w:numPr>
        <w:spacing w:after="0" w:line="240" w:lineRule="auto"/>
        <w:ind w:left="840" w:leftChars="0" w:hanging="420" w:firstLineChars="0"/>
        <w:contextualSpacing w:val="0"/>
        <w:jc w:val="both"/>
        <w:textAlignment w:val="baseline"/>
        <w:rPr>
          <w:rFonts w:hint="eastAsia" w:eastAsiaTheme="minorHAnsi"/>
          <w:color w:val="000000" w:themeColor="text1"/>
          <w14:textFill>
            <w14:solidFill>
              <w14:schemeClr w14:val="tx1"/>
            </w14:solidFill>
          </w14:textFill>
        </w:rPr>
      </w:pPr>
      <w:r>
        <w:rPr>
          <w:rFonts w:hint="eastAsia" w:eastAsiaTheme="minorHAnsi"/>
          <w:color w:val="000000" w:themeColor="text1"/>
          <w14:textFill>
            <w14:solidFill>
              <w14:schemeClr w14:val="tx1"/>
            </w14:solidFill>
          </w14:textFill>
        </w:rPr>
        <w:t>a participant is not an eligible installer,</w:t>
      </w:r>
    </w:p>
    <w:p w14:paraId="4A3759B0">
      <w:pPr>
        <w:pStyle w:val="150"/>
        <w:numPr>
          <w:ilvl w:val="0"/>
          <w:numId w:val="10"/>
        </w:numPr>
        <w:spacing w:after="0" w:line="240" w:lineRule="auto"/>
        <w:ind w:left="840" w:leftChars="0" w:hanging="420" w:firstLineChars="0"/>
        <w:contextualSpacing w:val="0"/>
        <w:jc w:val="both"/>
        <w:textAlignment w:val="baseline"/>
        <w:rPr>
          <w:rFonts w:hint="eastAsia" w:eastAsiaTheme="minorHAnsi"/>
          <w:color w:val="000000" w:themeColor="text1"/>
          <w14:textFill>
            <w14:solidFill>
              <w14:schemeClr w14:val="tx1"/>
            </w14:solidFill>
          </w14:textFill>
        </w:rPr>
      </w:pPr>
      <w:r>
        <w:rPr>
          <w:rFonts w:hint="eastAsia" w:eastAsiaTheme="minorHAnsi"/>
          <w:color w:val="000000" w:themeColor="text1"/>
          <w14:textFill>
            <w14:solidFill>
              <w14:schemeClr w14:val="tx1"/>
            </w14:solidFill>
          </w14:textFill>
        </w:rPr>
        <w:t>false, misleading, or incomplete information has been provided,</w:t>
      </w:r>
    </w:p>
    <w:p w14:paraId="3EF37959">
      <w:pPr>
        <w:pStyle w:val="150"/>
        <w:numPr>
          <w:ilvl w:val="0"/>
          <w:numId w:val="10"/>
        </w:numPr>
        <w:spacing w:after="0" w:line="240" w:lineRule="auto"/>
        <w:ind w:left="840" w:leftChars="0" w:hanging="420" w:firstLineChars="0"/>
        <w:contextualSpacing w:val="0"/>
        <w:jc w:val="both"/>
        <w:textAlignment w:val="baseline"/>
        <w:rPr>
          <w:rFonts w:hint="eastAsia" w:eastAsiaTheme="minorHAnsi"/>
          <w:color w:val="000000" w:themeColor="text1"/>
          <w14:textFill>
            <w14:solidFill>
              <w14:schemeClr w14:val="tx1"/>
            </w14:solidFill>
          </w14:textFill>
        </w:rPr>
      </w:pPr>
      <w:r>
        <w:rPr>
          <w:rFonts w:hint="eastAsia" w:eastAsiaTheme="minorHAnsi"/>
          <w:color w:val="000000" w:themeColor="text1"/>
          <w14:textFill>
            <w14:solidFill>
              <w14:schemeClr w14:val="tx1"/>
            </w14:solidFill>
          </w14:textFill>
        </w:rPr>
        <w:t>fraudulent activities, identity manipulation, or misuse of the program has occurred,</w:t>
      </w:r>
    </w:p>
    <w:p w14:paraId="3E212836">
      <w:pPr>
        <w:pStyle w:val="150"/>
        <w:numPr>
          <w:ilvl w:val="0"/>
          <w:numId w:val="10"/>
        </w:numPr>
        <w:spacing w:after="0" w:line="240" w:lineRule="auto"/>
        <w:ind w:left="840" w:leftChars="0" w:hanging="420" w:firstLineChars="0"/>
        <w:contextualSpacing w:val="0"/>
        <w:jc w:val="both"/>
        <w:textAlignment w:val="baseline"/>
        <w:rPr>
          <w:rFonts w:hint="eastAsia" w:eastAsiaTheme="minorHAnsi"/>
          <w:color w:val="000000" w:themeColor="text1"/>
          <w14:textFill>
            <w14:solidFill>
              <w14:schemeClr w14:val="tx1"/>
            </w14:solidFill>
          </w14:textFill>
        </w:rPr>
      </w:pPr>
      <w:r>
        <w:rPr>
          <w:rFonts w:hint="eastAsia" w:eastAsiaTheme="minorHAnsi"/>
          <w:color w:val="000000" w:themeColor="text1"/>
          <w14:textFill>
            <w14:solidFill>
              <w14:schemeClr w14:val="tx1"/>
            </w14:solidFill>
          </w14:textFill>
        </w:rPr>
        <w:t>invoices or activities have been fabricated, altered, or improperly submitted,</w:t>
      </w:r>
    </w:p>
    <w:p w14:paraId="627F8006">
      <w:pPr>
        <w:pStyle w:val="150"/>
        <w:numPr>
          <w:numId w:val="0"/>
        </w:numPr>
        <w:spacing w:after="0" w:line="240" w:lineRule="auto"/>
        <w:contextualSpacing w:val="0"/>
        <w:jc w:val="both"/>
        <w:textAlignment w:val="baseline"/>
        <w:rPr>
          <w:rFonts w:hint="eastAsia" w:eastAsiaTheme="minorHAnsi"/>
          <w:color w:val="000000" w:themeColor="text1"/>
          <w14:textFill>
            <w14:solidFill>
              <w14:schemeClr w14:val="tx1"/>
            </w14:solidFill>
          </w14:textFill>
        </w:rPr>
      </w:pPr>
      <w:r>
        <w:rPr>
          <w:rFonts w:hint="eastAsia" w:eastAsiaTheme="minorHAnsi"/>
          <w:color w:val="000000" w:themeColor="text1"/>
          <w14:textFill>
            <w14:solidFill>
              <w14:schemeClr w14:val="tx1"/>
            </w14:solidFill>
          </w14:textFill>
        </w:rPr>
        <w:t>AIKO reserves the right to:</w:t>
      </w:r>
    </w:p>
    <w:p w14:paraId="2045D052">
      <w:pPr>
        <w:pStyle w:val="150"/>
        <w:numPr>
          <w:ilvl w:val="0"/>
          <w:numId w:val="10"/>
        </w:numPr>
        <w:spacing w:after="0" w:line="240" w:lineRule="auto"/>
        <w:ind w:left="840" w:leftChars="0" w:hanging="420" w:firstLineChars="0"/>
        <w:contextualSpacing w:val="0"/>
        <w:jc w:val="both"/>
        <w:textAlignment w:val="baseline"/>
        <w:rPr>
          <w:rFonts w:hint="eastAsia" w:eastAsiaTheme="minorHAnsi"/>
          <w:color w:val="000000" w:themeColor="text1"/>
          <w14:textFill>
            <w14:solidFill>
              <w14:schemeClr w14:val="tx1"/>
            </w14:solidFill>
          </w14:textFill>
        </w:rPr>
      </w:pPr>
      <w:r>
        <w:rPr>
          <w:rFonts w:hint="eastAsia" w:eastAsiaTheme="minorHAnsi"/>
          <w:color w:val="000000" w:themeColor="text1"/>
          <w14:textFill>
            <w14:solidFill>
              <w14:schemeClr w14:val="tx1"/>
            </w14:solidFill>
          </w14:textFill>
        </w:rPr>
        <w:t>Immediately suspend or terminate the participant’s account;</w:t>
      </w:r>
    </w:p>
    <w:p w14:paraId="4AB7EDB4">
      <w:pPr>
        <w:pStyle w:val="150"/>
        <w:numPr>
          <w:ilvl w:val="0"/>
          <w:numId w:val="10"/>
        </w:numPr>
        <w:spacing w:after="0" w:line="240" w:lineRule="auto"/>
        <w:ind w:left="840" w:leftChars="0" w:hanging="420" w:firstLineChars="0"/>
        <w:contextualSpacing w:val="0"/>
        <w:jc w:val="both"/>
        <w:textAlignment w:val="baseline"/>
        <w:rPr>
          <w:rFonts w:hint="eastAsia" w:eastAsiaTheme="minorHAnsi"/>
          <w:color w:val="000000" w:themeColor="text1"/>
          <w14:textFill>
            <w14:solidFill>
              <w14:schemeClr w14:val="tx1"/>
            </w14:solidFill>
          </w14:textFill>
        </w:rPr>
      </w:pPr>
      <w:r>
        <w:rPr>
          <w:rFonts w:hint="eastAsia" w:eastAsiaTheme="minorHAnsi"/>
          <w:color w:val="000000" w:themeColor="text1"/>
          <w14:textFill>
            <w14:solidFill>
              <w14:schemeClr w14:val="tx1"/>
            </w14:solidFill>
          </w14:textFill>
        </w:rPr>
        <w:t>Cancel any accumulated points;</w:t>
      </w:r>
    </w:p>
    <w:p w14:paraId="3F37DA84">
      <w:pPr>
        <w:pStyle w:val="150"/>
        <w:numPr>
          <w:ilvl w:val="0"/>
          <w:numId w:val="10"/>
        </w:numPr>
        <w:spacing w:after="0" w:line="240" w:lineRule="auto"/>
        <w:ind w:left="840" w:leftChars="0" w:hanging="420" w:firstLineChars="0"/>
        <w:contextualSpacing w:val="0"/>
        <w:jc w:val="both"/>
        <w:textAlignment w:val="baseline"/>
        <w:rPr>
          <w:rFonts w:hint="eastAsia" w:eastAsiaTheme="minorHAnsi"/>
          <w:color w:val="000000" w:themeColor="text1"/>
          <w14:textFill>
            <w14:solidFill>
              <w14:schemeClr w14:val="tx1"/>
            </w14:solidFill>
          </w14:textFill>
        </w:rPr>
      </w:pPr>
      <w:r>
        <w:rPr>
          <w:rFonts w:hint="eastAsia" w:eastAsiaTheme="minorHAnsi"/>
          <w:color w:val="000000" w:themeColor="text1"/>
          <w14:textFill>
            <w14:solidFill>
              <w14:schemeClr w14:val="tx1"/>
            </w14:solidFill>
          </w14:textFill>
        </w:rPr>
        <w:t>Revoke Tier status and related benefits;</w:t>
      </w:r>
    </w:p>
    <w:p w14:paraId="3C1E66D7">
      <w:pPr>
        <w:pStyle w:val="150"/>
        <w:numPr>
          <w:ilvl w:val="0"/>
          <w:numId w:val="10"/>
        </w:numPr>
        <w:spacing w:after="0" w:line="240" w:lineRule="auto"/>
        <w:ind w:left="840" w:leftChars="0" w:hanging="420" w:firstLineChars="0"/>
        <w:contextualSpacing w:val="0"/>
        <w:jc w:val="both"/>
        <w:textAlignment w:val="baseline"/>
        <w:rPr>
          <w:rFonts w:hint="eastAsia" w:eastAsiaTheme="minorHAnsi"/>
          <w:color w:val="000000" w:themeColor="text1"/>
          <w14:textFill>
            <w14:solidFill>
              <w14:schemeClr w14:val="tx1"/>
            </w14:solidFill>
          </w14:textFill>
        </w:rPr>
      </w:pPr>
      <w:r>
        <w:rPr>
          <w:rFonts w:hint="eastAsia" w:eastAsiaTheme="minorHAnsi"/>
          <w:color w:val="000000" w:themeColor="text1"/>
          <w14:textFill>
            <w14:solidFill>
              <w14:schemeClr w14:val="tx1"/>
            </w14:solidFill>
          </w14:textFill>
        </w:rPr>
        <w:t>Require the return of any redeemed gifts that have not yet been consumed or used; and/or</w:t>
      </w:r>
    </w:p>
    <w:p w14:paraId="1B86BE53">
      <w:pPr>
        <w:pStyle w:val="150"/>
        <w:numPr>
          <w:ilvl w:val="0"/>
          <w:numId w:val="10"/>
        </w:numPr>
        <w:spacing w:after="0" w:line="240" w:lineRule="auto"/>
        <w:ind w:left="840" w:leftChars="0" w:hanging="420" w:firstLineChars="0"/>
        <w:contextualSpacing w:val="0"/>
        <w:jc w:val="both"/>
        <w:textAlignment w:val="baseline"/>
        <w:rPr>
          <w:rFonts w:hint="eastAsia" w:eastAsiaTheme="minorHAnsi"/>
          <w:color w:val="000000" w:themeColor="text1"/>
          <w14:textFill>
            <w14:solidFill>
              <w14:schemeClr w14:val="tx1"/>
            </w14:solidFill>
          </w14:textFill>
        </w:rPr>
      </w:pPr>
      <w:r>
        <w:rPr>
          <w:rFonts w:hint="eastAsia" w:eastAsiaTheme="minorHAnsi"/>
          <w:color w:val="000000" w:themeColor="text1"/>
          <w14:textFill>
            <w14:solidFill>
              <w14:schemeClr w14:val="tx1"/>
            </w14:solidFill>
          </w14:textFill>
        </w:rPr>
        <w:t>Request reimbursement of the commercial value of redeemed gifts where return is not reasonably possible.</w:t>
      </w:r>
    </w:p>
    <w:p w14:paraId="5FEE7F1D">
      <w:pPr>
        <w:pStyle w:val="150"/>
        <w:numPr>
          <w:numId w:val="0"/>
        </w:numPr>
        <w:spacing w:after="0" w:line="240" w:lineRule="auto"/>
        <w:contextualSpacing w:val="0"/>
        <w:jc w:val="both"/>
        <w:textAlignment w:val="baseline"/>
        <w:rPr>
          <w:rFonts w:hint="eastAsia" w:eastAsiaTheme="minorHAnsi"/>
          <w:color w:val="000000" w:themeColor="text1"/>
          <w14:textFill>
            <w14:solidFill>
              <w14:schemeClr w14:val="tx1"/>
            </w14:solidFill>
          </w14:textFill>
        </w:rPr>
      </w:pPr>
      <w:r>
        <w:rPr>
          <w:rFonts w:hint="eastAsia" w:eastAsiaTheme="minorHAnsi"/>
          <w:color w:val="000000" w:themeColor="text1"/>
          <w14:textFill>
            <w14:solidFill>
              <w14:schemeClr w14:val="tx1"/>
            </w14:solidFill>
          </w14:textFill>
        </w:rPr>
        <w:t xml:space="preserve">AIKO further reserves the right to pursue legal remedies in cases of </w:t>
      </w:r>
      <w:r>
        <w:rPr>
          <w:rFonts w:hint="eastAsia" w:eastAsiaTheme="minorHAnsi"/>
          <w:color w:val="000000" w:themeColor="text1"/>
          <w:lang w:val="en-US" w:eastAsia="zh-CN"/>
          <w14:textFill>
            <w14:solidFill>
              <w14:schemeClr w14:val="tx1"/>
            </w14:solidFill>
          </w14:textFill>
        </w:rPr>
        <w:tab/>
      </w:r>
      <w:r>
        <w:rPr>
          <w:rFonts w:hint="eastAsia" w:eastAsiaTheme="minorHAnsi"/>
          <w:color w:val="000000" w:themeColor="text1"/>
          <w14:textFill>
            <w14:solidFill>
              <w14:schemeClr w14:val="tx1"/>
            </w14:solidFill>
          </w14:textFill>
        </w:rPr>
        <w:t>confirmed fraudulent behavior.</w:t>
      </w:r>
    </w:p>
    <w:p w14:paraId="2E2BCB39">
      <w:pPr>
        <w:pStyle w:val="150"/>
        <w:numPr>
          <w:numId w:val="0"/>
        </w:numPr>
        <w:spacing w:after="0" w:line="240" w:lineRule="auto"/>
        <w:contextualSpacing w:val="0"/>
        <w:jc w:val="both"/>
        <w:textAlignment w:val="baseline"/>
        <w:rPr>
          <w:rFonts w:hint="eastAsia" w:eastAsiaTheme="minorHAnsi"/>
          <w:color w:val="000000" w:themeColor="text1"/>
          <w14:textFill>
            <w14:solidFill>
              <w14:schemeClr w14:val="tx1"/>
            </w14:solidFill>
          </w14:textFill>
        </w:rPr>
      </w:pPr>
      <w:r>
        <w:rPr>
          <w:rFonts w:hint="eastAsia" w:eastAsiaTheme="minorHAnsi"/>
          <w:color w:val="000000" w:themeColor="text1"/>
          <w14:textFill>
            <w14:solidFill>
              <w14:schemeClr w14:val="tx1"/>
            </w14:solidFill>
          </w14:textFill>
        </w:rPr>
        <w:t>These measures are without prejudice to any other rights available under applicable law.</w:t>
      </w:r>
    </w:p>
    <w:p w14:paraId="0D269890">
      <w:pPr>
        <w:pStyle w:val="150"/>
        <w:numPr>
          <w:numId w:val="0"/>
        </w:numPr>
        <w:spacing w:after="0" w:line="240" w:lineRule="auto"/>
        <w:contextualSpacing w:val="0"/>
        <w:jc w:val="both"/>
        <w:textAlignment w:val="baseline"/>
        <w:rPr>
          <w:rFonts w:hint="eastAsia" w:eastAsiaTheme="minorHAnsi"/>
          <w:color w:val="000000" w:themeColor="text1"/>
          <w14:textFill>
            <w14:solidFill>
              <w14:schemeClr w14:val="tx1"/>
            </w14:solidFill>
          </w14:textFill>
        </w:rPr>
      </w:pPr>
    </w:p>
    <w:p w14:paraId="39A6437F">
      <w:pPr>
        <w:pStyle w:val="3"/>
        <w:numPr>
          <w:ilvl w:val="0"/>
          <w:numId w:val="9"/>
        </w:numPr>
        <w:ind w:left="360" w:leftChars="0" w:hanging="360" w:firstLineChars="0"/>
        <w:jc w:val="both"/>
        <w:rPr>
          <w:rFonts w:hint="eastAsia"/>
          <w:lang w:val="en-US" w:eastAsia="zh-CN"/>
        </w:rPr>
      </w:pPr>
      <w:r>
        <w:rPr>
          <w:rFonts w:hint="eastAsia"/>
          <w:lang w:val="en-US" w:eastAsia="en-US"/>
        </w:rPr>
        <w:t>Points Accumula</w:t>
      </w:r>
      <w:bookmarkStart w:id="0" w:name="_GoBack"/>
      <w:bookmarkEnd w:id="0"/>
      <w:r>
        <w:rPr>
          <w:rFonts w:hint="eastAsia"/>
          <w:lang w:val="en-US" w:eastAsia="en-US"/>
        </w:rPr>
        <w:t>tion and Validity</w:t>
      </w:r>
    </w:p>
    <w:p w14:paraId="3A78342E">
      <w:pPr>
        <w:rPr>
          <w:rFonts w:eastAsia="宋体"/>
          <w:lang w:eastAsia="zh-CN"/>
        </w:rPr>
      </w:pPr>
    </w:p>
    <w:p w14:paraId="2F2481F4">
      <w:pPr>
        <w:pStyle w:val="150"/>
        <w:widowControl w:val="0"/>
        <w:numPr>
          <w:ilvl w:val="1"/>
          <w:numId w:val="9"/>
        </w:numPr>
        <w:spacing w:after="0" w:line="240" w:lineRule="auto"/>
        <w:ind w:left="720" w:leftChars="0" w:hanging="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Installers may earn points through verified AIKO product installations and other eligible activities as defined by AIKO.</w:t>
      </w:r>
    </w:p>
    <w:p w14:paraId="218A16AC">
      <w:pPr>
        <w:pStyle w:val="150"/>
        <w:widowControl w:val="0"/>
        <w:numPr>
          <w:ilvl w:val="0"/>
          <w:numId w:val="11"/>
        </w:numPr>
        <w:spacing w:after="0" w:line="240" w:lineRule="auto"/>
        <w:ind w:left="840" w:leftChars="0" w:hanging="4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AIKO Module Installations:</w:t>
      </w:r>
    </w:p>
    <w:p w14:paraId="59147AF0">
      <w:pPr>
        <w:pStyle w:val="150"/>
        <w:widowControl w:val="0"/>
        <w:numPr>
          <w:ilvl w:val="0"/>
          <w:numId w:val="0"/>
        </w:numPr>
        <w:spacing w:after="0" w:line="240" w:lineRule="auto"/>
        <w:ind w:leftChars="0" w:firstLine="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10 points per kW for AIKO 54/60-cell modules.</w:t>
      </w:r>
    </w:p>
    <w:p w14:paraId="22F3D766">
      <w:pPr>
        <w:pStyle w:val="150"/>
        <w:widowControl w:val="0"/>
        <w:numPr>
          <w:ilvl w:val="0"/>
          <w:numId w:val="0"/>
        </w:numPr>
        <w:spacing w:after="0" w:line="240" w:lineRule="auto"/>
        <w:ind w:leftChars="0" w:firstLine="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5 points per kW for AIKO 66/72-cell modules.</w:t>
      </w:r>
    </w:p>
    <w:p w14:paraId="233C3C9C">
      <w:pPr>
        <w:pStyle w:val="150"/>
        <w:widowControl w:val="0"/>
        <w:numPr>
          <w:ilvl w:val="0"/>
          <w:numId w:val="11"/>
        </w:numPr>
        <w:spacing w:after="0" w:line="240" w:lineRule="auto"/>
        <w:ind w:left="840" w:leftChars="0" w:hanging="4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Certification &amp; Training:</w:t>
      </w:r>
    </w:p>
    <w:p w14:paraId="7935E76D">
      <w:pPr>
        <w:pStyle w:val="150"/>
        <w:widowControl w:val="0"/>
        <w:numPr>
          <w:ilvl w:val="0"/>
          <w:numId w:val="0"/>
        </w:numPr>
        <w:spacing w:after="0" w:line="240" w:lineRule="auto"/>
        <w:ind w:leftChars="0" w:firstLine="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500 points for passing the official AIKO certification exam.</w:t>
      </w:r>
    </w:p>
    <w:p w14:paraId="5A828FA2">
      <w:pPr>
        <w:pStyle w:val="150"/>
        <w:widowControl w:val="0"/>
        <w:numPr>
          <w:ilvl w:val="0"/>
          <w:numId w:val="0"/>
        </w:numPr>
        <w:spacing w:after="0" w:line="240" w:lineRule="auto"/>
        <w:ind w:leftChars="0" w:firstLine="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 xml:space="preserve">Points for participating in AIKO webinars or attending online/offline training </w:t>
      </w:r>
      <w:r>
        <w:rPr>
          <w:rFonts w:hint="eastAsia" w:eastAsiaTheme="minorHAnsi"/>
          <w:bCs/>
          <w:color w:val="000000" w:themeColor="text1"/>
          <w:szCs w:val="21"/>
          <w:lang w:val="en-US" w:eastAsia="zh-CN"/>
          <w14:textFill>
            <w14:solidFill>
              <w14:schemeClr w14:val="tx1"/>
            </w14:solidFill>
          </w14:textFill>
        </w:rPr>
        <w:tab/>
      </w:r>
      <w:r>
        <w:rPr>
          <w:rFonts w:eastAsiaTheme="minorHAnsi"/>
          <w:bCs/>
          <w:color w:val="000000" w:themeColor="text1"/>
          <w:szCs w:val="21"/>
          <w14:textFill>
            <w14:solidFill>
              <w14:schemeClr w14:val="tx1"/>
            </w14:solidFill>
          </w14:textFill>
        </w:rPr>
        <w:t>sessions.</w:t>
      </w:r>
    </w:p>
    <w:p w14:paraId="082A39E3">
      <w:pPr>
        <w:pStyle w:val="150"/>
        <w:widowControl w:val="0"/>
        <w:numPr>
          <w:ilvl w:val="0"/>
          <w:numId w:val="11"/>
        </w:numPr>
        <w:spacing w:after="0" w:line="240" w:lineRule="auto"/>
        <w:ind w:left="840" w:leftChars="0" w:hanging="4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Knowledge &amp; Contribution:</w:t>
      </w:r>
    </w:p>
    <w:p w14:paraId="7255A1E4">
      <w:pPr>
        <w:pStyle w:val="150"/>
        <w:widowControl w:val="0"/>
        <w:numPr>
          <w:ilvl w:val="0"/>
          <w:numId w:val="0"/>
        </w:numPr>
        <w:spacing w:after="0" w:line="240" w:lineRule="auto"/>
        <w:ind w:leftChars="0" w:firstLine="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Points for uploading valid case studies with photos/videos.</w:t>
      </w:r>
    </w:p>
    <w:p w14:paraId="72CB8922">
      <w:pPr>
        <w:pStyle w:val="150"/>
        <w:widowControl w:val="0"/>
        <w:numPr>
          <w:ilvl w:val="0"/>
          <w:numId w:val="0"/>
        </w:numPr>
        <w:spacing w:after="0" w:line="240" w:lineRule="auto"/>
        <w:ind w:leftChars="0" w:firstLine="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Points for completing installer surveys.</w:t>
      </w:r>
    </w:p>
    <w:p w14:paraId="40B6FA96">
      <w:pPr>
        <w:pStyle w:val="150"/>
        <w:widowControl w:val="0"/>
        <w:numPr>
          <w:ilvl w:val="0"/>
          <w:numId w:val="11"/>
        </w:numPr>
        <w:spacing w:after="0" w:line="240" w:lineRule="auto"/>
        <w:ind w:left="840" w:leftChars="0" w:hanging="4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Community Engagement:</w:t>
      </w:r>
    </w:p>
    <w:p w14:paraId="4A217605">
      <w:pPr>
        <w:pStyle w:val="150"/>
        <w:widowControl w:val="0"/>
        <w:numPr>
          <w:ilvl w:val="0"/>
          <w:numId w:val="0"/>
        </w:numPr>
        <w:spacing w:after="0" w:line="240" w:lineRule="auto"/>
        <w:ind w:leftChars="0" w:firstLine="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Points for referring other installers to join AIC (upon successful verification).</w:t>
      </w:r>
    </w:p>
    <w:p w14:paraId="5148E0C7">
      <w:pPr>
        <w:pStyle w:val="150"/>
        <w:widowControl w:val="0"/>
        <w:numPr>
          <w:ilvl w:val="0"/>
          <w:numId w:val="0"/>
        </w:numPr>
        <w:spacing w:after="0" w:line="240" w:lineRule="auto"/>
        <w:ind w:leftChars="0" w:firstLine="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Points for participating in approved local AIKO installer events.</w:t>
      </w:r>
    </w:p>
    <w:p w14:paraId="3DE052C9">
      <w:pPr>
        <w:pStyle w:val="150"/>
        <w:widowControl w:val="0"/>
        <w:numPr>
          <w:ilvl w:val="1"/>
          <w:numId w:val="9"/>
        </w:numPr>
        <w:spacing w:after="0" w:line="240" w:lineRule="auto"/>
        <w:ind w:left="720" w:leftChars="0" w:hanging="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The respective point values for each activity, unless specified above, will be published and updated on the AIC platform. AIKO reserves the right to adjust or update the list of eligible activities and their point values at any time.</w:t>
      </w:r>
    </w:p>
    <w:p w14:paraId="268C8C19">
      <w:pPr>
        <w:pStyle w:val="150"/>
        <w:widowControl w:val="0"/>
        <w:numPr>
          <w:ilvl w:val="1"/>
          <w:numId w:val="9"/>
        </w:numPr>
        <w:spacing w:after="0" w:line="240" w:lineRule="auto"/>
        <w:ind w:left="720" w:leftChars="0" w:hanging="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Only invoices from purchases made within the past 1</w:t>
      </w:r>
      <w:r>
        <w:rPr>
          <w:rFonts w:hint="eastAsia" w:eastAsiaTheme="minorHAnsi"/>
          <w:bCs/>
          <w:color w:val="000000" w:themeColor="text1"/>
          <w:szCs w:val="21"/>
          <w:lang w:val="en-US" w:eastAsia="zh-CN"/>
          <w14:textFill>
            <w14:solidFill>
              <w14:schemeClr w14:val="tx1"/>
            </w14:solidFill>
          </w14:textFill>
        </w:rPr>
        <w:t>2</w:t>
      </w:r>
      <w:r>
        <w:rPr>
          <w:rFonts w:eastAsiaTheme="minorHAnsi"/>
          <w:bCs/>
          <w:color w:val="000000" w:themeColor="text1"/>
          <w:szCs w:val="21"/>
          <w14:textFill>
            <w14:solidFill>
              <w14:schemeClr w14:val="tx1"/>
            </w14:solidFill>
          </w14:textFill>
        </w:rPr>
        <w:t xml:space="preserve"> months are eligible. Points are valid for 1</w:t>
      </w:r>
      <w:r>
        <w:rPr>
          <w:rFonts w:hint="eastAsia" w:eastAsiaTheme="minorHAnsi"/>
          <w:bCs/>
          <w:color w:val="000000" w:themeColor="text1"/>
          <w:szCs w:val="21"/>
          <w:lang w:val="en-US" w:eastAsia="zh-CN"/>
          <w14:textFill>
            <w14:solidFill>
              <w14:schemeClr w14:val="tx1"/>
            </w14:solidFill>
          </w14:textFill>
        </w:rPr>
        <w:t>2</w:t>
      </w:r>
      <w:r>
        <w:rPr>
          <w:rFonts w:eastAsiaTheme="minorHAnsi"/>
          <w:bCs/>
          <w:color w:val="000000" w:themeColor="text1"/>
          <w:szCs w:val="21"/>
          <w14:textFill>
            <w14:solidFill>
              <w14:schemeClr w14:val="tx1"/>
            </w14:solidFill>
          </w14:textFill>
        </w:rPr>
        <w:t xml:space="preserve"> months from the date of issuance. Expired points will be automatically deducted from the account balance. Utility-scale or resale-only transactions are excluded.</w:t>
      </w:r>
    </w:p>
    <w:p w14:paraId="4680FC82">
      <w:pPr>
        <w:pStyle w:val="150"/>
        <w:widowControl w:val="0"/>
        <w:numPr>
          <w:ilvl w:val="1"/>
          <w:numId w:val="9"/>
        </w:numPr>
        <w:spacing w:after="0" w:line="240" w:lineRule="auto"/>
        <w:ind w:left="720" w:leftChars="0" w:hanging="720" w:firstLineChars="0"/>
        <w:jc w:val="both"/>
        <w:rPr>
          <w:rFonts w:hint="eastAsia" w:eastAsiaTheme="minorHAnsi"/>
          <w:bCs/>
          <w:color w:val="000000" w:themeColor="text1"/>
          <w:szCs w:val="21"/>
          <w:lang w:val="en-US" w:eastAsia="zh-CN"/>
          <w14:textFill>
            <w14:solidFill>
              <w14:schemeClr w14:val="tx1"/>
            </w14:solidFill>
          </w14:textFill>
        </w:rPr>
      </w:pPr>
      <w:r>
        <w:rPr>
          <w:rFonts w:eastAsiaTheme="minorHAnsi"/>
          <w:bCs/>
          <w:color w:val="000000" w:themeColor="text1"/>
          <w:szCs w:val="21"/>
          <w14:textFill>
            <w14:solidFill>
              <w14:schemeClr w14:val="tx1"/>
            </w14:solidFill>
          </w14:textFill>
        </w:rPr>
        <w:t>AIKO may launch promotional campaigns where points are multiplied (e.g., triple or quadruple points). Such campaigns will be announced via official AIC Information. Points earned during such campaigns follow the same validity rules as standard points.</w:t>
      </w:r>
    </w:p>
    <w:p w14:paraId="7964A5F0">
      <w:pPr>
        <w:pStyle w:val="150"/>
        <w:widowControl w:val="0"/>
        <w:numPr>
          <w:ilvl w:val="0"/>
          <w:numId w:val="0"/>
        </w:numPr>
        <w:spacing w:after="0" w:line="240" w:lineRule="auto"/>
        <w:ind w:leftChars="0"/>
        <w:jc w:val="both"/>
        <w:rPr>
          <w:rFonts w:hint="eastAsia" w:eastAsiaTheme="minorHAnsi"/>
          <w:bCs/>
          <w:color w:val="000000" w:themeColor="text1"/>
          <w:szCs w:val="21"/>
          <w:lang w:val="en-US" w:eastAsia="zh-CN"/>
          <w14:textFill>
            <w14:solidFill>
              <w14:schemeClr w14:val="tx1"/>
            </w14:solidFill>
          </w14:textFill>
        </w:rPr>
      </w:pPr>
    </w:p>
    <w:p w14:paraId="3A499874">
      <w:pPr>
        <w:pStyle w:val="3"/>
        <w:numPr>
          <w:ilvl w:val="0"/>
          <w:numId w:val="9"/>
        </w:numPr>
        <w:ind w:left="360" w:leftChars="0" w:hanging="360" w:firstLineChars="0"/>
        <w:jc w:val="both"/>
      </w:pPr>
      <w:r>
        <w:t>Tiered Membership Structure</w:t>
      </w:r>
    </w:p>
    <w:p w14:paraId="4B10D9EF"/>
    <w:p w14:paraId="6D334479">
      <w:pPr>
        <w:pStyle w:val="150"/>
        <w:widowControl w:val="0"/>
        <w:numPr>
          <w:ilvl w:val="1"/>
          <w:numId w:val="9"/>
        </w:numPr>
        <w:spacing w:after="0" w:line="240" w:lineRule="auto"/>
        <w:ind w:left="720" w:leftChars="0" w:hanging="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Qualification</w:t>
      </w:r>
      <w:r>
        <w:rPr>
          <w:rFonts w:hint="default" w:eastAsiaTheme="minorHAnsi"/>
          <w:bCs/>
          <w:color w:val="000000" w:themeColor="text1"/>
          <w:szCs w:val="21"/>
          <w:lang w:val="en-US"/>
          <w14:textFill>
            <w14:solidFill>
              <w14:schemeClr w14:val="tx1"/>
            </w14:solidFill>
          </w14:textFill>
        </w:rPr>
        <w:t xml:space="preserve">: </w:t>
      </w:r>
      <w:r>
        <w:rPr>
          <w:rFonts w:eastAsiaTheme="minorHAnsi"/>
          <w:bCs/>
          <w:color w:val="000000" w:themeColor="text1"/>
          <w:szCs w:val="21"/>
          <w14:textFill>
            <w14:solidFill>
              <w14:schemeClr w14:val="tx1"/>
            </w14:solidFill>
          </w14:textFill>
        </w:rPr>
        <w:t>Installer tiers are determined based on accumulated AIC points and/or verified sales performance, as assessed by AIKO.</w:t>
      </w:r>
    </w:p>
    <w:p w14:paraId="660366EC">
      <w:pPr>
        <w:pStyle w:val="150"/>
        <w:widowControl w:val="0"/>
        <w:numPr>
          <w:ilvl w:val="0"/>
          <w:numId w:val="0"/>
        </w:numPr>
        <w:spacing w:after="0" w:line="240" w:lineRule="auto"/>
        <w:ind w:leftChars="0" w:firstLine="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AIKO reserves sole discretion in verifying qualification criteria.</w:t>
      </w:r>
    </w:p>
    <w:p w14:paraId="7A2E1518">
      <w:pPr>
        <w:pStyle w:val="150"/>
        <w:widowControl w:val="0"/>
        <w:numPr>
          <w:ilvl w:val="1"/>
          <w:numId w:val="9"/>
        </w:numPr>
        <w:spacing w:after="0" w:line="240" w:lineRule="auto"/>
        <w:ind w:left="720" w:leftChars="0" w:hanging="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Validity</w:t>
      </w:r>
      <w:r>
        <w:rPr>
          <w:rFonts w:hint="default" w:eastAsiaTheme="minorHAnsi"/>
          <w:bCs/>
          <w:color w:val="000000" w:themeColor="text1"/>
          <w:szCs w:val="21"/>
          <w:lang w:val="en-US"/>
          <w14:textFill>
            <w14:solidFill>
              <w14:schemeClr w14:val="tx1"/>
            </w14:solidFill>
          </w14:textFill>
        </w:rPr>
        <w:t xml:space="preserve">: </w:t>
      </w:r>
      <w:r>
        <w:rPr>
          <w:rFonts w:eastAsiaTheme="minorHAnsi"/>
          <w:bCs/>
          <w:color w:val="000000" w:themeColor="text1"/>
          <w:szCs w:val="21"/>
          <w14:textFill>
            <w14:solidFill>
              <w14:schemeClr w14:val="tx1"/>
            </w14:solidFill>
          </w14:textFill>
        </w:rPr>
        <w:t>Tier status is valid for twelve (12) consecutive months from the month of upgrade.</w:t>
      </w:r>
    </w:p>
    <w:p w14:paraId="6A0D307C">
      <w:pPr>
        <w:pStyle w:val="150"/>
        <w:widowControl w:val="0"/>
        <w:numPr>
          <w:ilvl w:val="0"/>
          <w:numId w:val="0"/>
        </w:numPr>
        <w:spacing w:after="0" w:line="240" w:lineRule="auto"/>
        <w:ind w:leftChars="0" w:firstLine="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 xml:space="preserve">Failure to maintain required performance may result in downgrade or </w:t>
      </w:r>
      <w:r>
        <w:rPr>
          <w:rFonts w:hint="default" w:eastAsiaTheme="minorHAnsi"/>
          <w:bCs/>
          <w:color w:val="000000" w:themeColor="text1"/>
          <w:szCs w:val="21"/>
          <w:lang w:val="en-US"/>
          <w14:textFill>
            <w14:solidFill>
              <w14:schemeClr w14:val="tx1"/>
            </w14:solidFill>
          </w14:textFill>
        </w:rPr>
        <w:tab/>
      </w:r>
      <w:r>
        <w:rPr>
          <w:rFonts w:eastAsiaTheme="minorHAnsi"/>
          <w:bCs/>
          <w:color w:val="000000" w:themeColor="text1"/>
          <w:szCs w:val="21"/>
          <w14:textFill>
            <w14:solidFill>
              <w14:schemeClr w14:val="tx1"/>
            </w14:solidFill>
          </w14:textFill>
        </w:rPr>
        <w:t>removal of Tier Benefits.</w:t>
      </w:r>
    </w:p>
    <w:p w14:paraId="7DA66F2B">
      <w:pPr>
        <w:pStyle w:val="150"/>
        <w:widowControl w:val="0"/>
        <w:numPr>
          <w:ilvl w:val="1"/>
          <w:numId w:val="9"/>
        </w:numPr>
        <w:spacing w:after="0" w:line="240" w:lineRule="auto"/>
        <w:ind w:left="720" w:leftChars="0" w:hanging="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Points Multipliers</w:t>
      </w:r>
      <w:r>
        <w:rPr>
          <w:rFonts w:hint="default" w:eastAsiaTheme="minorHAnsi"/>
          <w:bCs/>
          <w:color w:val="000000" w:themeColor="text1"/>
          <w:szCs w:val="21"/>
          <w:lang w:val="en-US"/>
          <w14:textFill>
            <w14:solidFill>
              <w14:schemeClr w14:val="tx1"/>
            </w14:solidFill>
          </w14:textFill>
        </w:rPr>
        <w:t xml:space="preserve">: </w:t>
      </w:r>
      <w:r>
        <w:rPr>
          <w:rFonts w:eastAsiaTheme="minorHAnsi"/>
          <w:bCs/>
          <w:color w:val="000000" w:themeColor="text1"/>
          <w:szCs w:val="21"/>
          <w14:textFill>
            <w14:solidFill>
              <w14:schemeClr w14:val="tx1"/>
            </w14:solidFill>
          </w14:textFill>
        </w:rPr>
        <w:t>Points multipliers associated with specific tiers apply only to future approved activities and do not apply retroactively.</w:t>
      </w:r>
    </w:p>
    <w:p w14:paraId="73C11836">
      <w:pPr>
        <w:pStyle w:val="150"/>
        <w:widowControl w:val="0"/>
        <w:numPr>
          <w:ilvl w:val="0"/>
          <w:numId w:val="0"/>
        </w:numPr>
        <w:spacing w:after="0" w:line="240" w:lineRule="auto"/>
        <w:ind w:leftChars="0" w:firstLine="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 xml:space="preserve">AIKO reserves the right to suspend multiplier benefits in cases of abnormal, </w:t>
      </w:r>
      <w:r>
        <w:rPr>
          <w:rFonts w:hint="default" w:eastAsiaTheme="minorHAnsi"/>
          <w:bCs/>
          <w:color w:val="000000" w:themeColor="text1"/>
          <w:szCs w:val="21"/>
          <w:lang w:val="en-US"/>
          <w14:textFill>
            <w14:solidFill>
              <w14:schemeClr w14:val="tx1"/>
            </w14:solidFill>
          </w14:textFill>
        </w:rPr>
        <w:tab/>
      </w:r>
      <w:r>
        <w:rPr>
          <w:rFonts w:eastAsiaTheme="minorHAnsi"/>
          <w:bCs/>
          <w:color w:val="000000" w:themeColor="text1"/>
          <w:szCs w:val="21"/>
          <w14:textFill>
            <w14:solidFill>
              <w14:schemeClr w14:val="tx1"/>
            </w14:solidFill>
          </w14:textFill>
        </w:rPr>
        <w:t>fraudulent, or non-compliant activity.</w:t>
      </w:r>
    </w:p>
    <w:p w14:paraId="0E24F5DA">
      <w:pPr>
        <w:pStyle w:val="150"/>
        <w:widowControl w:val="0"/>
        <w:numPr>
          <w:ilvl w:val="0"/>
          <w:numId w:val="0"/>
        </w:numPr>
        <w:spacing w:after="0" w:line="240" w:lineRule="auto"/>
        <w:ind w:leftChars="0"/>
        <w:jc w:val="both"/>
        <w:rPr>
          <w:rFonts w:hint="eastAsia" w:eastAsiaTheme="minorHAnsi"/>
          <w:bCs/>
          <w:color w:val="000000" w:themeColor="text1"/>
          <w:szCs w:val="21"/>
          <w:lang w:val="en-US" w:eastAsia="zh-CN"/>
          <w14:textFill>
            <w14:solidFill>
              <w14:schemeClr w14:val="tx1"/>
            </w14:solidFill>
          </w14:textFill>
        </w:rPr>
      </w:pPr>
    </w:p>
    <w:p w14:paraId="0276C4D7">
      <w:pPr>
        <w:pStyle w:val="3"/>
        <w:numPr>
          <w:ilvl w:val="0"/>
          <w:numId w:val="9"/>
        </w:numPr>
        <w:ind w:left="360" w:leftChars="0" w:hanging="360" w:firstLineChars="0"/>
        <w:jc w:val="both"/>
        <w:rPr>
          <w:rFonts w:hint="default" w:eastAsia="宋体"/>
          <w:lang w:val="en-US" w:eastAsia="zh-CN"/>
        </w:rPr>
      </w:pPr>
      <w:r>
        <w:t>Gift Redemption</w:t>
      </w:r>
    </w:p>
    <w:p w14:paraId="4F6B8E32">
      <w:pPr>
        <w:rPr>
          <w:rFonts w:hint="default"/>
          <w:lang w:val="en-US" w:eastAsia="zh-CN"/>
        </w:rPr>
      </w:pPr>
    </w:p>
    <w:p w14:paraId="5804DFBD">
      <w:pPr>
        <w:pStyle w:val="150"/>
        <w:widowControl w:val="0"/>
        <w:numPr>
          <w:ilvl w:val="1"/>
          <w:numId w:val="9"/>
        </w:numPr>
        <w:spacing w:after="0" w:line="240" w:lineRule="auto"/>
        <w:ind w:left="720" w:leftChars="0" w:hanging="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Installers may redeem their accumulated points for gifts listed on the AIC redemption platform. Both Company Points and Employee Points may be used to redeem gifts.</w:t>
      </w:r>
    </w:p>
    <w:p w14:paraId="4E084B99">
      <w:pPr>
        <w:pStyle w:val="150"/>
        <w:widowControl w:val="0"/>
        <w:numPr>
          <w:ilvl w:val="1"/>
          <w:numId w:val="9"/>
        </w:numPr>
        <w:spacing w:after="0" w:line="240" w:lineRule="auto"/>
        <w:ind w:left="720" w:leftChars="0" w:hanging="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Gift options may include, but are not limited to:</w:t>
      </w:r>
    </w:p>
    <w:p w14:paraId="2F4902AD">
      <w:pPr>
        <w:pStyle w:val="150"/>
        <w:widowControl w:val="0"/>
        <w:numPr>
          <w:ilvl w:val="0"/>
          <w:numId w:val="0"/>
        </w:numPr>
        <w:spacing w:after="0" w:line="240" w:lineRule="auto"/>
        <w:ind w:leftChars="0" w:firstLine="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AIKO modules;</w:t>
      </w:r>
    </w:p>
    <w:p w14:paraId="1EF87560">
      <w:pPr>
        <w:pStyle w:val="150"/>
        <w:widowControl w:val="0"/>
        <w:numPr>
          <w:ilvl w:val="0"/>
          <w:numId w:val="0"/>
        </w:numPr>
        <w:spacing w:after="0" w:line="240" w:lineRule="auto"/>
        <w:ind w:leftChars="0" w:firstLine="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 xml:space="preserve">Household appliances (e.g., Philips air fryer, Bosch mixer, coffee machine, </w:t>
      </w:r>
      <w:r>
        <w:rPr>
          <w:rFonts w:hint="default" w:eastAsiaTheme="minorHAnsi"/>
          <w:bCs/>
          <w:color w:val="000000" w:themeColor="text1"/>
          <w:szCs w:val="21"/>
          <w:lang w:val="en-US"/>
          <w14:textFill>
            <w14:solidFill>
              <w14:schemeClr w14:val="tx1"/>
            </w14:solidFill>
          </w14:textFill>
        </w:rPr>
        <w:tab/>
      </w:r>
      <w:r>
        <w:rPr>
          <w:rFonts w:eastAsiaTheme="minorHAnsi"/>
          <w:bCs/>
          <w:color w:val="000000" w:themeColor="text1"/>
          <w:szCs w:val="21"/>
          <w14:textFill>
            <w14:solidFill>
              <w14:schemeClr w14:val="tx1"/>
            </w14:solidFill>
          </w14:textFill>
        </w:rPr>
        <w:t>Bluetooth speaker, WMF cookware, vacuum cleaner);</w:t>
      </w:r>
    </w:p>
    <w:p w14:paraId="3CBBA523">
      <w:pPr>
        <w:pStyle w:val="150"/>
        <w:widowControl w:val="0"/>
        <w:numPr>
          <w:ilvl w:val="0"/>
          <w:numId w:val="0"/>
        </w:numPr>
        <w:spacing w:after="0" w:line="240" w:lineRule="auto"/>
        <w:ind w:leftChars="0" w:firstLine="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Small promotional items (e.g., football, teddy bear, beanie).</w:t>
      </w:r>
    </w:p>
    <w:p w14:paraId="05BB1193">
      <w:pPr>
        <w:pStyle w:val="150"/>
        <w:widowControl w:val="0"/>
        <w:numPr>
          <w:ilvl w:val="1"/>
          <w:numId w:val="9"/>
        </w:numPr>
        <w:spacing w:after="0" w:line="240" w:lineRule="auto"/>
        <w:ind w:left="720" w:leftChars="0" w:hanging="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Gift availability, models, and point requirements may vary and are subject to stock and may change without prior notice. The situation regarding gift availability, models and Point requirements at the time of application counts. AIKO reserves full rights to define and modify the redemption price (in Points) of any gift at its sole discretion.</w:t>
      </w:r>
    </w:p>
    <w:p w14:paraId="25184D54">
      <w:pPr>
        <w:pStyle w:val="150"/>
        <w:widowControl w:val="0"/>
        <w:numPr>
          <w:ilvl w:val="1"/>
          <w:numId w:val="9"/>
        </w:numPr>
        <w:spacing w:after="0" w:line="240" w:lineRule="auto"/>
        <w:ind w:left="720" w:leftChars="0" w:hanging="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Some items may require custom orders via customer service (e.g., smartphones).</w:t>
      </w:r>
    </w:p>
    <w:p w14:paraId="745B2D04">
      <w:pPr>
        <w:pStyle w:val="150"/>
        <w:widowControl w:val="0"/>
        <w:numPr>
          <w:ilvl w:val="1"/>
          <w:numId w:val="9"/>
        </w:numPr>
        <w:spacing w:after="0" w:line="240" w:lineRule="auto"/>
        <w:ind w:left="720" w:leftChars="0" w:hanging="720" w:firstLineChars="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Installers are responsible for complying with any local tax obligations arising from the redemption of gifts.</w:t>
      </w:r>
    </w:p>
    <w:p w14:paraId="3CE3D9C6">
      <w:pPr>
        <w:pStyle w:val="150"/>
        <w:widowControl w:val="0"/>
        <w:numPr>
          <w:ilvl w:val="0"/>
          <w:numId w:val="0"/>
        </w:numPr>
        <w:spacing w:after="0" w:line="240" w:lineRule="auto"/>
        <w:ind w:leftChars="0"/>
        <w:jc w:val="both"/>
        <w:rPr>
          <w:rFonts w:eastAsiaTheme="minorHAnsi"/>
          <w:bCs/>
          <w:color w:val="000000" w:themeColor="text1"/>
          <w:szCs w:val="21"/>
          <w14:textFill>
            <w14:solidFill>
              <w14:schemeClr w14:val="tx1"/>
            </w14:solidFill>
          </w14:textFill>
        </w:rPr>
      </w:pPr>
    </w:p>
    <w:p w14:paraId="796E9ED7">
      <w:pPr>
        <w:pStyle w:val="3"/>
        <w:numPr>
          <w:ilvl w:val="0"/>
          <w:numId w:val="9"/>
        </w:numPr>
        <w:ind w:left="360" w:leftChars="0" w:hanging="360" w:firstLineChars="0"/>
        <w:jc w:val="both"/>
        <w:rPr>
          <w:rFonts w:hint="eastAsia"/>
        </w:rPr>
      </w:pPr>
      <w:r>
        <w:rPr>
          <w:rFonts w:hint="eastAsia"/>
        </w:rPr>
        <w:t xml:space="preserve"> Tier Benefits</w:t>
      </w:r>
    </w:p>
    <w:p w14:paraId="6B7CF245">
      <w:pPr>
        <w:pStyle w:val="150"/>
        <w:widowControl w:val="0"/>
        <w:numPr>
          <w:ilvl w:val="0"/>
          <w:numId w:val="0"/>
        </w:numPr>
        <w:spacing w:after="0" w:line="240" w:lineRule="auto"/>
        <w:ind w:leftChars="0"/>
        <w:jc w:val="both"/>
        <w:rPr>
          <w:rFonts w:hint="eastAsia" w:eastAsiaTheme="minorHAnsi"/>
          <w:bCs/>
          <w:color w:val="000000" w:themeColor="text1"/>
          <w:szCs w:val="21"/>
          <w14:textFill>
            <w14:solidFill>
              <w14:schemeClr w14:val="tx1"/>
            </w14:solidFill>
          </w14:textFill>
        </w:rPr>
      </w:pPr>
    </w:p>
    <w:p w14:paraId="736C0FC9">
      <w:pPr>
        <w:pStyle w:val="150"/>
        <w:widowControl w:val="0"/>
        <w:numPr>
          <w:ilvl w:val="1"/>
          <w:numId w:val="9"/>
        </w:numPr>
        <w:spacing w:after="0" w:line="240" w:lineRule="auto"/>
        <w:ind w:left="720" w:leftChars="0" w:hanging="7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Tier Benefits may include, but are not limited to:</w:t>
      </w:r>
    </w:p>
    <w:p w14:paraId="52BBC87E">
      <w:pPr>
        <w:pStyle w:val="150"/>
        <w:widowControl w:val="0"/>
        <w:numPr>
          <w:ilvl w:val="0"/>
          <w:numId w:val="12"/>
        </w:numPr>
        <w:spacing w:after="0" w:line="240" w:lineRule="auto"/>
        <w:ind w:left="840" w:leftChars="0" w:hanging="4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Gift redemption discounts</w:t>
      </w:r>
    </w:p>
    <w:p w14:paraId="5E521AE9">
      <w:pPr>
        <w:pStyle w:val="150"/>
        <w:widowControl w:val="0"/>
        <w:numPr>
          <w:ilvl w:val="0"/>
          <w:numId w:val="12"/>
        </w:numPr>
        <w:spacing w:after="0" w:line="240" w:lineRule="auto"/>
        <w:ind w:left="840" w:leftChars="0" w:hanging="4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Recognition items (certificates or trophies)</w:t>
      </w:r>
    </w:p>
    <w:p w14:paraId="3B1B6A6C">
      <w:pPr>
        <w:pStyle w:val="150"/>
        <w:widowControl w:val="0"/>
        <w:numPr>
          <w:ilvl w:val="0"/>
          <w:numId w:val="12"/>
        </w:numPr>
        <w:spacing w:after="0" w:line="240" w:lineRule="auto"/>
        <w:ind w:left="840" w:leftChars="0" w:hanging="4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Marketing support (non-cash only)</w:t>
      </w:r>
    </w:p>
    <w:p w14:paraId="1F514B47">
      <w:pPr>
        <w:pStyle w:val="150"/>
        <w:widowControl w:val="0"/>
        <w:numPr>
          <w:ilvl w:val="0"/>
          <w:numId w:val="12"/>
        </w:numPr>
        <w:spacing w:after="0" w:line="240" w:lineRule="auto"/>
        <w:ind w:left="840" w:leftChars="0" w:hanging="4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Social media or promotional exposure</w:t>
      </w:r>
    </w:p>
    <w:p w14:paraId="33A03BEC">
      <w:pPr>
        <w:pStyle w:val="150"/>
        <w:widowControl w:val="0"/>
        <w:numPr>
          <w:ilvl w:val="0"/>
          <w:numId w:val="12"/>
        </w:numPr>
        <w:spacing w:after="0" w:line="240" w:lineRule="auto"/>
        <w:ind w:left="840" w:leftChars="0" w:hanging="4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Event access or invitations</w:t>
      </w:r>
    </w:p>
    <w:p w14:paraId="398DB4F1">
      <w:pPr>
        <w:pStyle w:val="150"/>
        <w:widowControl w:val="0"/>
        <w:numPr>
          <w:ilvl w:val="0"/>
          <w:numId w:val="12"/>
        </w:numPr>
        <w:spacing w:after="0" w:line="240" w:lineRule="auto"/>
        <w:ind w:left="840" w:leftChars="0" w:hanging="4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Lead referrals</w:t>
      </w:r>
    </w:p>
    <w:p w14:paraId="30AE77F9">
      <w:pPr>
        <w:pStyle w:val="150"/>
        <w:widowControl w:val="0"/>
        <w:numPr>
          <w:ilvl w:val="0"/>
          <w:numId w:val="12"/>
        </w:numPr>
        <w:spacing w:after="0" w:line="240" w:lineRule="auto"/>
        <w:ind w:left="840" w:leftChars="0" w:hanging="4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Discounted participation in official AIKO programs</w:t>
      </w:r>
    </w:p>
    <w:p w14:paraId="7A6BAECB">
      <w:pPr>
        <w:pStyle w:val="150"/>
        <w:widowControl w:val="0"/>
        <w:numPr>
          <w:ilvl w:val="0"/>
          <w:numId w:val="0"/>
        </w:numPr>
        <w:spacing w:after="0" w:line="240" w:lineRule="auto"/>
        <w:ind w:leftChars="0"/>
        <w:jc w:val="both"/>
        <w:rPr>
          <w:rFonts w:hint="eastAsia" w:eastAsiaTheme="minorHAnsi"/>
          <w:bCs/>
          <w:color w:val="000000" w:themeColor="text1"/>
          <w:szCs w:val="21"/>
          <w14:textFill>
            <w14:solidFill>
              <w14:schemeClr w14:val="tx1"/>
            </w14:solidFill>
          </w14:textFill>
        </w:rPr>
      </w:pPr>
    </w:p>
    <w:p w14:paraId="7B0C3C05">
      <w:pPr>
        <w:pStyle w:val="150"/>
        <w:widowControl w:val="0"/>
        <w:numPr>
          <w:ilvl w:val="0"/>
          <w:numId w:val="0"/>
        </w:numPr>
        <w:spacing w:after="0" w:line="240" w:lineRule="auto"/>
        <w:ind w:leftChars="0" w:firstLine="7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All Tier Benefits:</w:t>
      </w:r>
    </w:p>
    <w:p w14:paraId="393547D9">
      <w:pPr>
        <w:pStyle w:val="150"/>
        <w:widowControl w:val="0"/>
        <w:numPr>
          <w:ilvl w:val="0"/>
          <w:numId w:val="12"/>
        </w:numPr>
        <w:spacing w:after="0" w:line="240" w:lineRule="auto"/>
        <w:ind w:left="840" w:leftChars="0" w:hanging="4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Are subject to availability</w:t>
      </w:r>
    </w:p>
    <w:p w14:paraId="31A3E3BB">
      <w:pPr>
        <w:pStyle w:val="150"/>
        <w:widowControl w:val="0"/>
        <w:numPr>
          <w:ilvl w:val="0"/>
          <w:numId w:val="12"/>
        </w:numPr>
        <w:spacing w:after="0" w:line="240" w:lineRule="auto"/>
        <w:ind w:left="840" w:leftChars="0" w:hanging="4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Require compliance with AIC rules</w:t>
      </w:r>
    </w:p>
    <w:p w14:paraId="5417E5C7">
      <w:pPr>
        <w:pStyle w:val="150"/>
        <w:widowControl w:val="0"/>
        <w:numPr>
          <w:ilvl w:val="0"/>
          <w:numId w:val="12"/>
        </w:numPr>
        <w:spacing w:after="0" w:line="240" w:lineRule="auto"/>
        <w:ind w:left="840" w:leftChars="0" w:hanging="4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Are non-transferable</w:t>
      </w:r>
    </w:p>
    <w:p w14:paraId="69B37142">
      <w:pPr>
        <w:pStyle w:val="150"/>
        <w:widowControl w:val="0"/>
        <w:numPr>
          <w:ilvl w:val="0"/>
          <w:numId w:val="12"/>
        </w:numPr>
        <w:spacing w:after="0" w:line="240" w:lineRule="auto"/>
        <w:ind w:left="840" w:leftChars="0" w:hanging="4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May be modified, substituted, limited, or discontinued at AIKO’s discretion</w:t>
      </w:r>
    </w:p>
    <w:p w14:paraId="0CD35A9B">
      <w:pPr>
        <w:pStyle w:val="150"/>
        <w:widowControl w:val="0"/>
        <w:numPr>
          <w:ilvl w:val="0"/>
          <w:numId w:val="12"/>
        </w:numPr>
        <w:spacing w:after="0" w:line="240" w:lineRule="auto"/>
        <w:ind w:left="840" w:leftChars="0" w:hanging="4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Do not constitute a guaranteed contractual entitlement</w:t>
      </w:r>
    </w:p>
    <w:p w14:paraId="41A15A48">
      <w:pPr>
        <w:pStyle w:val="150"/>
        <w:widowControl w:val="0"/>
        <w:numPr>
          <w:ilvl w:val="0"/>
          <w:numId w:val="12"/>
        </w:numPr>
        <w:spacing w:after="0" w:line="240" w:lineRule="auto"/>
        <w:ind w:left="840" w:leftChars="0" w:hanging="4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lang w:val="en-US" w:eastAsia="zh-CN"/>
          <w14:textFill>
            <w14:solidFill>
              <w14:schemeClr w14:val="tx1"/>
            </w14:solidFill>
          </w14:textFill>
        </w:rPr>
        <w:t>Eligibility to participate may depend on tier level.</w:t>
      </w:r>
    </w:p>
    <w:p w14:paraId="58BAEF2B">
      <w:pPr>
        <w:pStyle w:val="150"/>
        <w:widowControl w:val="0"/>
        <w:numPr>
          <w:ilvl w:val="0"/>
          <w:numId w:val="0"/>
        </w:numPr>
        <w:spacing w:after="0" w:line="240" w:lineRule="auto"/>
        <w:ind w:left="420" w:leftChars="0"/>
        <w:jc w:val="both"/>
        <w:rPr>
          <w:rFonts w:hint="eastAsia" w:eastAsiaTheme="minorHAnsi"/>
          <w:bCs/>
          <w:color w:val="000000" w:themeColor="text1"/>
          <w:szCs w:val="21"/>
          <w14:textFill>
            <w14:solidFill>
              <w14:schemeClr w14:val="tx1"/>
            </w14:solidFill>
          </w14:textFill>
        </w:rPr>
      </w:pPr>
    </w:p>
    <w:p w14:paraId="5D277562">
      <w:pPr>
        <w:pStyle w:val="150"/>
        <w:widowControl w:val="0"/>
        <w:numPr>
          <w:ilvl w:val="1"/>
          <w:numId w:val="9"/>
        </w:numPr>
        <w:spacing w:after="0" w:line="240" w:lineRule="auto"/>
        <w:ind w:left="720" w:leftChars="0" w:hanging="7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Marketing Support</w:t>
      </w:r>
      <w:r>
        <w:rPr>
          <w:rFonts w:hint="default" w:eastAsiaTheme="minorHAnsi"/>
          <w:bCs/>
          <w:color w:val="000000" w:themeColor="text1"/>
          <w:szCs w:val="21"/>
          <w:lang w:val="en-US"/>
          <w14:textFill>
            <w14:solidFill>
              <w14:schemeClr w14:val="tx1"/>
            </w14:solidFill>
          </w14:textFill>
        </w:rPr>
        <w:t xml:space="preserve">: </w:t>
      </w:r>
      <w:r>
        <w:rPr>
          <w:rFonts w:hint="eastAsia" w:eastAsiaTheme="minorHAnsi"/>
          <w:bCs/>
          <w:color w:val="000000" w:themeColor="text1"/>
          <w:szCs w:val="21"/>
          <w14:textFill>
            <w14:solidFill>
              <w14:schemeClr w14:val="tx1"/>
            </w14:solidFill>
          </w14:textFill>
        </w:rPr>
        <w:t>Annual local marketing support is provided in non-cash form only and may be issued in the form of approved marketing vouchers, promotional materials, or reimbursement of eligible marketing expenses, subject to prior written approval by AIKO.</w:t>
      </w:r>
    </w:p>
    <w:p w14:paraId="0A86AA59">
      <w:pPr>
        <w:pStyle w:val="150"/>
        <w:widowControl w:val="0"/>
        <w:numPr>
          <w:ilvl w:val="0"/>
          <w:numId w:val="0"/>
        </w:numPr>
        <w:spacing w:after="0" w:line="240" w:lineRule="auto"/>
        <w:ind w:leftChars="0" w:firstLine="7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Marketing support:</w:t>
      </w:r>
    </w:p>
    <w:p w14:paraId="172305EF">
      <w:pPr>
        <w:pStyle w:val="150"/>
        <w:widowControl w:val="0"/>
        <w:numPr>
          <w:ilvl w:val="0"/>
          <w:numId w:val="13"/>
        </w:numPr>
        <w:spacing w:after="0" w:line="240" w:lineRule="auto"/>
        <w:ind w:left="840" w:leftChars="0" w:hanging="4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Is not a cash rebate</w:t>
      </w:r>
    </w:p>
    <w:p w14:paraId="40EB997D">
      <w:pPr>
        <w:pStyle w:val="150"/>
        <w:widowControl w:val="0"/>
        <w:numPr>
          <w:ilvl w:val="0"/>
          <w:numId w:val="13"/>
        </w:numPr>
        <w:spacing w:after="0" w:line="240" w:lineRule="auto"/>
        <w:ind w:left="840" w:leftChars="0" w:hanging="4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Is not automatic</w:t>
      </w:r>
    </w:p>
    <w:p w14:paraId="7FC1ADED">
      <w:pPr>
        <w:pStyle w:val="150"/>
        <w:widowControl w:val="0"/>
        <w:numPr>
          <w:ilvl w:val="0"/>
          <w:numId w:val="13"/>
        </w:numPr>
        <w:spacing w:after="0" w:line="240" w:lineRule="auto"/>
        <w:ind w:left="840" w:leftChars="0" w:hanging="4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Requires supporting documentation</w:t>
      </w:r>
    </w:p>
    <w:p w14:paraId="29478BFD">
      <w:pPr>
        <w:pStyle w:val="150"/>
        <w:widowControl w:val="0"/>
        <w:numPr>
          <w:ilvl w:val="0"/>
          <w:numId w:val="13"/>
        </w:numPr>
        <w:spacing w:after="0" w:line="240" w:lineRule="auto"/>
        <w:ind w:left="840" w:leftChars="0" w:hanging="4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May be subject to additional eligibility conditions</w:t>
      </w:r>
    </w:p>
    <w:p w14:paraId="537796B3">
      <w:pPr>
        <w:pStyle w:val="150"/>
        <w:widowControl w:val="0"/>
        <w:numPr>
          <w:ilvl w:val="0"/>
          <w:numId w:val="13"/>
        </w:numPr>
        <w:spacing w:after="0" w:line="240" w:lineRule="auto"/>
        <w:ind w:left="840" w:leftChars="0" w:hanging="420" w:firstLineChars="0"/>
        <w:jc w:val="both"/>
        <w:rPr>
          <w:rFonts w:hint="eastAsia" w:eastAsiaTheme="minorHAnsi"/>
          <w:bCs/>
          <w:color w:val="000000" w:themeColor="text1"/>
          <w:szCs w:val="21"/>
          <w14:textFill>
            <w14:solidFill>
              <w14:schemeClr w14:val="tx1"/>
            </w14:solidFill>
          </w14:textFill>
        </w:rPr>
      </w:pPr>
      <w:r>
        <w:rPr>
          <w:rFonts w:hint="eastAsia" w:eastAsiaTheme="minorHAnsi"/>
          <w:bCs/>
          <w:color w:val="000000" w:themeColor="text1"/>
          <w:szCs w:val="21"/>
          <w14:textFill>
            <w14:solidFill>
              <w14:schemeClr w14:val="tx1"/>
            </w14:solidFill>
          </w14:textFill>
        </w:rPr>
        <w:t>Has no cash alternative</w:t>
      </w:r>
    </w:p>
    <w:p w14:paraId="6FDA416C">
      <w:pPr>
        <w:keepNext w:val="0"/>
        <w:keepLines w:val="0"/>
        <w:widowControl/>
        <w:suppressLineNumbers w:val="0"/>
        <w:ind w:firstLine="720" w:firstLineChars="0"/>
        <w:jc w:val="left"/>
        <w:rPr>
          <w:rFonts w:hint="eastAsia" w:asciiTheme="minorHAnsi" w:hAnsiTheme="minorHAnsi" w:eastAsiaTheme="minorHAnsi" w:cstheme="minorBidi"/>
          <w:bCs/>
          <w:color w:val="000000" w:themeColor="text1"/>
          <w:sz w:val="22"/>
          <w:szCs w:val="21"/>
          <w:lang w:val="en-US" w:eastAsia="en-US" w:bidi="ar-SA"/>
          <w14:textFill>
            <w14:solidFill>
              <w14:schemeClr w14:val="tx1"/>
            </w14:solidFill>
          </w14:textFill>
        </w:rPr>
      </w:pPr>
      <w:r>
        <w:rPr>
          <w:rFonts w:hint="eastAsia" w:asciiTheme="minorHAnsi" w:hAnsiTheme="minorHAnsi" w:eastAsiaTheme="minorHAnsi" w:cstheme="minorBidi"/>
          <w:bCs/>
          <w:color w:val="000000" w:themeColor="text1"/>
          <w:sz w:val="22"/>
          <w:szCs w:val="21"/>
          <w:lang w:val="en-US" w:eastAsia="zh-CN" w:bidi="ar-SA"/>
          <w14:textFill>
            <w14:solidFill>
              <w14:schemeClr w14:val="tx1"/>
            </w14:solidFill>
          </w14:textFill>
        </w:rPr>
        <w:t xml:space="preserve">AIKO reserves the right to determine the specific form of marketing support, </w:t>
      </w:r>
      <w:r>
        <w:rPr>
          <w:rFonts w:hint="eastAsia" w:eastAsiaTheme="minorHAnsi" w:cstheme="minorBidi"/>
          <w:bCs/>
          <w:color w:val="000000" w:themeColor="text1"/>
          <w:sz w:val="22"/>
          <w:szCs w:val="21"/>
          <w:lang w:val="en-US" w:eastAsia="zh-CN" w:bidi="ar-SA"/>
          <w14:textFill>
            <w14:solidFill>
              <w14:schemeClr w14:val="tx1"/>
            </w14:solidFill>
          </w14:textFill>
        </w:rPr>
        <w:tab/>
      </w:r>
      <w:r>
        <w:rPr>
          <w:rFonts w:hint="eastAsia" w:asciiTheme="minorHAnsi" w:hAnsiTheme="minorHAnsi" w:eastAsiaTheme="minorHAnsi" w:cstheme="minorBidi"/>
          <w:bCs/>
          <w:color w:val="000000" w:themeColor="text1"/>
          <w:sz w:val="22"/>
          <w:szCs w:val="21"/>
          <w:lang w:val="en-US" w:eastAsia="zh-CN" w:bidi="ar-SA"/>
          <w14:textFill>
            <w14:solidFill>
              <w14:schemeClr w14:val="tx1"/>
            </w14:solidFill>
          </w14:textFill>
        </w:rPr>
        <w:t xml:space="preserve">including but not limited to prepaid cards, vouchers, promotional materials, </w:t>
      </w:r>
      <w:r>
        <w:rPr>
          <w:rFonts w:hint="eastAsia" w:eastAsiaTheme="minorHAnsi" w:cstheme="minorBidi"/>
          <w:bCs/>
          <w:color w:val="000000" w:themeColor="text1"/>
          <w:sz w:val="22"/>
          <w:szCs w:val="21"/>
          <w:lang w:val="en-US" w:eastAsia="zh-CN" w:bidi="ar-SA"/>
          <w14:textFill>
            <w14:solidFill>
              <w14:schemeClr w14:val="tx1"/>
            </w14:solidFill>
          </w14:textFill>
        </w:rPr>
        <w:tab/>
      </w:r>
      <w:r>
        <w:rPr>
          <w:rFonts w:hint="eastAsia" w:asciiTheme="minorHAnsi" w:hAnsiTheme="minorHAnsi" w:eastAsiaTheme="minorHAnsi" w:cstheme="minorBidi"/>
          <w:bCs/>
          <w:color w:val="000000" w:themeColor="text1"/>
          <w:sz w:val="22"/>
          <w:szCs w:val="21"/>
          <w:lang w:val="en-US" w:eastAsia="zh-CN" w:bidi="ar-SA"/>
          <w14:textFill>
            <w14:solidFill>
              <w14:schemeClr w14:val="tx1"/>
            </w14:solidFill>
          </w14:textFill>
        </w:rPr>
        <w:t>or third-party service reimbursements.</w:t>
      </w:r>
    </w:p>
    <w:p w14:paraId="23B6C0EF">
      <w:pPr>
        <w:pStyle w:val="150"/>
        <w:widowControl w:val="0"/>
        <w:numPr>
          <w:ilvl w:val="0"/>
          <w:numId w:val="0"/>
        </w:numPr>
        <w:spacing w:after="0" w:line="240" w:lineRule="auto"/>
        <w:ind w:leftChars="0" w:firstLine="720" w:firstLineChars="0"/>
        <w:jc w:val="both"/>
        <w:rPr>
          <w:rFonts w:hint="eastAsia" w:eastAsiaTheme="minorHAnsi"/>
          <w:bCs/>
          <w:color w:val="000000" w:themeColor="text1"/>
          <w:szCs w:val="21"/>
          <w14:textFill>
            <w14:solidFill>
              <w14:schemeClr w14:val="tx1"/>
            </w14:solidFill>
          </w14:textFill>
        </w:rPr>
      </w:pPr>
    </w:p>
    <w:p w14:paraId="61682179">
      <w:pPr>
        <w:pStyle w:val="3"/>
        <w:numPr>
          <w:ilvl w:val="0"/>
          <w:numId w:val="9"/>
        </w:numPr>
        <w:ind w:left="360" w:leftChars="0" w:hanging="360" w:firstLineChars="0"/>
        <w:jc w:val="both"/>
        <w:rPr>
          <w:lang w:eastAsia="zh-CN"/>
        </w:rPr>
      </w:pPr>
      <w:r>
        <w:t>Seasonal Promotions</w:t>
      </w:r>
    </w:p>
    <w:p w14:paraId="3BD82ECA">
      <w:pPr>
        <w:rPr>
          <w:lang w:eastAsia="zh-CN"/>
        </w:rPr>
      </w:pPr>
    </w:p>
    <w:p w14:paraId="3744F93D">
      <w:pPr>
        <w:pStyle w:val="150"/>
        <w:widowControl w:val="0"/>
        <w:numPr>
          <w:ilvl w:val="1"/>
          <w:numId w:val="9"/>
        </w:numPr>
        <w:spacing w:after="0" w:line="240" w:lineRule="auto"/>
        <w:ind w:left="720" w:leftChars="0" w:hanging="720" w:firstLineChars="0"/>
        <w:jc w:val="both"/>
      </w:pPr>
      <w:r>
        <w:rPr>
          <w:rFonts w:eastAsiaTheme="minorHAnsi"/>
          <w:bCs/>
          <w:color w:val="000000" w:themeColor="text1"/>
          <w:szCs w:val="21"/>
          <w14:textFill>
            <w14:solidFill>
              <w14:schemeClr w14:val="tx1"/>
            </w14:solidFill>
          </w14:textFill>
        </w:rPr>
        <w:t>Promotional Points follow the same validity rules as regular Points. Promotions, such as double or triple points apply only to invoices issued during the official promotion period.</w:t>
      </w:r>
    </w:p>
    <w:p w14:paraId="50A98CEF">
      <w:pPr>
        <w:pStyle w:val="150"/>
        <w:widowControl w:val="0"/>
        <w:numPr>
          <w:ilvl w:val="1"/>
          <w:numId w:val="9"/>
        </w:numPr>
        <w:spacing w:after="0" w:line="240" w:lineRule="auto"/>
        <w:ind w:left="720" w:leftChars="0" w:hanging="720" w:firstLineChars="0"/>
        <w:jc w:val="both"/>
      </w:pPr>
      <w:r>
        <w:rPr>
          <w:rFonts w:eastAsiaTheme="minorHAnsi"/>
          <w:bCs/>
          <w:color w:val="000000" w:themeColor="text1"/>
          <w:szCs w:val="21"/>
          <w14:textFill>
            <w14:solidFill>
              <w14:schemeClr w14:val="tx1"/>
            </w14:solidFill>
          </w14:textFill>
        </w:rPr>
        <w:t xml:space="preserve">Installers must apply manually through customer service to activate multiplier bonuses. Application deadlines and eligible product types will be published for each promotion. </w:t>
      </w:r>
    </w:p>
    <w:p w14:paraId="3367AD2C">
      <w:pPr>
        <w:pStyle w:val="150"/>
        <w:widowControl w:val="0"/>
        <w:numPr>
          <w:ilvl w:val="0"/>
          <w:numId w:val="0"/>
        </w:numPr>
        <w:spacing w:after="0" w:line="240" w:lineRule="auto"/>
        <w:ind w:leftChars="0"/>
        <w:jc w:val="both"/>
      </w:pPr>
    </w:p>
    <w:p w14:paraId="222FCD02">
      <w:pPr>
        <w:pStyle w:val="3"/>
        <w:numPr>
          <w:ilvl w:val="0"/>
          <w:numId w:val="9"/>
        </w:numPr>
        <w:ind w:left="360" w:leftChars="0" w:hanging="360" w:firstLineChars="0"/>
        <w:jc w:val="both"/>
        <w:rPr>
          <w:lang w:eastAsia="zh-CN"/>
        </w:rPr>
      </w:pPr>
      <w:r>
        <w:t>China Tour Redemption</w:t>
      </w:r>
      <w:r>
        <w:br w:type="textWrapping"/>
      </w:r>
    </w:p>
    <w:p w14:paraId="0A0BD3CA">
      <w:pPr>
        <w:pStyle w:val="150"/>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leftChars="0" w:hanging="720" w:firstLineChars="0"/>
        <w:jc w:val="both"/>
        <w:rPr>
          <w:rFonts w:cs="Courier New" w:eastAsiaTheme="minorHAnsi"/>
          <w:color w:val="202124"/>
          <w:szCs w:val="21"/>
          <w:lang w:val="en-US"/>
        </w:rPr>
      </w:pPr>
      <w:r>
        <w:rPr>
          <w:rFonts w:cs="Courier New" w:eastAsiaTheme="minorHAnsi"/>
          <w:color w:val="202124"/>
          <w:szCs w:val="21"/>
          <w:lang w:val="en-US"/>
        </w:rPr>
        <w:t>Participants may redeem points for special rewards such as the “China Tour” or similar experience packages. The specific content, value, and redemption rules of such campaigns will be communicated separately via official AIC Information (e.g. website, Newsletter, or email).</w:t>
      </w:r>
    </w:p>
    <w:p w14:paraId="5484E3CB">
      <w:pPr>
        <w:pStyle w:val="150"/>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leftChars="0" w:hanging="720" w:firstLineChars="0"/>
        <w:jc w:val="both"/>
        <w:rPr>
          <w:rFonts w:cs="Courier New" w:eastAsiaTheme="minorHAnsi"/>
          <w:color w:val="202124"/>
          <w:szCs w:val="21"/>
          <w:lang w:val="en-US"/>
        </w:rPr>
      </w:pPr>
      <w:r>
        <w:rPr>
          <w:rFonts w:cs="Courier New" w:eastAsiaTheme="minorHAnsi"/>
          <w:color w:val="202124"/>
          <w:szCs w:val="21"/>
          <w:lang w:val="en-US"/>
        </w:rPr>
        <w:t>The availability, redemption deadline, and terms of participation for such campaigns are subject to the specific campaign announcement.</w:t>
      </w:r>
    </w:p>
    <w:p w14:paraId="043FD4B6">
      <w:pPr>
        <w:pStyle w:val="3"/>
        <w:numPr>
          <w:ilvl w:val="0"/>
          <w:numId w:val="9"/>
        </w:numPr>
        <w:ind w:left="360" w:leftChars="0" w:hanging="360" w:firstLineChars="0"/>
        <w:jc w:val="both"/>
        <w:rPr>
          <w:lang w:eastAsia="zh-CN"/>
        </w:rPr>
      </w:pPr>
      <w:r>
        <w:t>Privacy and Data Protection</w:t>
      </w:r>
    </w:p>
    <w:p w14:paraId="1FCFEC5D">
      <w:pPr>
        <w:rPr>
          <w:rFonts w:eastAsia="宋体"/>
          <w:lang w:eastAsia="zh-CN"/>
        </w:rPr>
      </w:pPr>
    </w:p>
    <w:p w14:paraId="06AB5FA4">
      <w:pPr>
        <w:pStyle w:val="150"/>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leftChars="0" w:hanging="720" w:firstLineChars="0"/>
        <w:jc w:val="both"/>
        <w:rPr>
          <w:rFonts w:cs="Courier New" w:eastAsiaTheme="minorHAnsi"/>
          <w:color w:val="202124"/>
          <w:szCs w:val="21"/>
          <w:lang w:val="en"/>
        </w:rPr>
      </w:pPr>
      <w:r>
        <w:rPr>
          <w:rFonts w:cs="Courier New" w:eastAsiaTheme="minorHAnsi"/>
          <w:color w:val="202124"/>
          <w:szCs w:val="21"/>
          <w:lang w:val="en"/>
        </w:rPr>
        <w:t>All Participant data will be treated confidentially and only used for the purpose of the AIC program, always in accordance with the data protection regulations of the Federal Republic of Germany and the EU-GDPR.</w:t>
      </w:r>
    </w:p>
    <w:p w14:paraId="7780BE5D">
      <w:pPr>
        <w:pStyle w:val="150"/>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leftChars="0" w:hanging="720" w:firstLineChars="0"/>
        <w:jc w:val="both"/>
        <w:rPr>
          <w:rFonts w:cs="Courier New" w:eastAsiaTheme="minorHAnsi"/>
          <w:color w:val="202124"/>
          <w:szCs w:val="21"/>
          <w:lang w:val="en"/>
        </w:rPr>
      </w:pPr>
      <w:r>
        <w:rPr>
          <w:rFonts w:cs="Courier New" w:eastAsiaTheme="minorHAnsi"/>
          <w:color w:val="202124"/>
          <w:szCs w:val="21"/>
          <w:lang w:val="en"/>
        </w:rPr>
        <w:t>To participate in the competition AIKO requires the following information as mandatory: Contact person’s name, surname, email address, telephone number/mobile number.</w:t>
      </w:r>
    </w:p>
    <w:p w14:paraId="2113E0EF">
      <w:pPr>
        <w:pStyle w:val="150"/>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leftChars="0" w:hanging="720" w:firstLineChars="0"/>
        <w:jc w:val="both"/>
        <w:rPr>
          <w:rFonts w:cs="Courier New" w:eastAsiaTheme="minorHAnsi"/>
          <w:color w:val="202124"/>
          <w:szCs w:val="21"/>
          <w:lang w:val="en" w:eastAsia="en-US"/>
        </w:rPr>
      </w:pPr>
      <w:r>
        <w:rPr>
          <w:rFonts w:cs="Courier New" w:eastAsiaTheme="minorHAnsi"/>
          <w:color w:val="202124"/>
          <w:szCs w:val="21"/>
          <w:lang w:val="en"/>
        </w:rPr>
        <w:t>AIKO uses this information to notify Participants and to request further information. The legal basis for data processing is Article 6 Paragraph 1 Letter b GDPR. AIKO will delete Participant’s personal data six months after delivery of the respective Gift.</w:t>
      </w:r>
    </w:p>
    <w:p w14:paraId="12A90113">
      <w:pPr>
        <w:pStyle w:val="150"/>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leftChars="0" w:hanging="720" w:firstLineChars="0"/>
        <w:jc w:val="both"/>
        <w:rPr>
          <w:rFonts w:cs="Courier New" w:eastAsiaTheme="minorHAnsi"/>
          <w:color w:val="202124"/>
          <w:szCs w:val="21"/>
          <w:lang w:val="en"/>
        </w:rPr>
      </w:pPr>
      <w:r>
        <w:rPr>
          <w:rFonts w:cs="Courier New" w:eastAsiaTheme="minorHAnsi"/>
          <w:color w:val="202124"/>
          <w:szCs w:val="21"/>
          <w:lang w:val="en"/>
        </w:rPr>
        <w:t>AIKO uses service providers to provide services and process Participant data (so-called order processing). The service providers process the data exclusively on the instructions of AIKO and are obliged to comply with the applicable data protection regulations.</w:t>
      </w:r>
    </w:p>
    <w:p w14:paraId="789AFDFB">
      <w:pPr>
        <w:pStyle w:val="150"/>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leftChars="0" w:hanging="720" w:firstLineChars="0"/>
        <w:jc w:val="both"/>
        <w:rPr>
          <w:rFonts w:cs="Courier New" w:eastAsiaTheme="minorHAnsi"/>
          <w:color w:val="202124"/>
          <w:szCs w:val="21"/>
          <w:lang w:val="en"/>
        </w:rPr>
      </w:pPr>
      <w:r>
        <w:rPr>
          <w:rFonts w:cs="Courier New" w:eastAsiaTheme="minorHAnsi"/>
          <w:color w:val="202124"/>
          <w:szCs w:val="21"/>
          <w:lang w:val="en"/>
        </w:rPr>
        <w:t>The servers of some service providers used by AIKO are located in China and other countries outside the European Union. Companies in these countries are subject to data protection laws that generally do not protect personal data to the same extent as those in European Union member states. If Participants’ data is processed in a country that does not have a recognized high level of data protection like the European Union, AIKO uses contractual regulations or other recognized instruments to ensure that personal data is adequately protected.</w:t>
      </w:r>
    </w:p>
    <w:p w14:paraId="6D0E7C58">
      <w:pPr>
        <w:pStyle w:val="150"/>
        <w:numPr>
          <w:ilvl w:val="1"/>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leftChars="0" w:hanging="720" w:firstLineChars="0"/>
        <w:jc w:val="both"/>
        <w:rPr>
          <w:rFonts w:cs="Courier New" w:eastAsiaTheme="minorHAnsi"/>
          <w:color w:val="202124"/>
          <w:szCs w:val="21"/>
          <w:lang w:val="en-US"/>
        </w:rPr>
      </w:pPr>
      <w:r>
        <w:rPr>
          <w:rFonts w:cs="Courier New" w:eastAsiaTheme="minorHAnsi"/>
          <w:color w:val="202124"/>
          <w:szCs w:val="21"/>
          <w:lang w:val="en"/>
        </w:rPr>
        <w:t xml:space="preserve">Each Participant has the right to request information about what personal data AIKO stores and the purpose for which it is stored. In addition, each Participant can have incorrect data corrected or data whose storage is inadmissible or no longer necessary deleted. Each Participant has the right to data portability, and also has the right to complain to a supervisory authority about the data processing taking place. AIKO’s data protection officer is available at </w:t>
      </w:r>
      <w:r>
        <w:rPr>
          <w:rFonts w:hint="eastAsia" w:cs="Courier New" w:eastAsiaTheme="minorHAnsi"/>
          <w:color w:val="202124"/>
          <w:szCs w:val="21"/>
          <w:lang w:val="en-US" w:eastAsia="zh-CN"/>
        </w:rPr>
        <w:t>AIKO</w:t>
      </w:r>
      <w:r>
        <w:rPr>
          <w:rFonts w:cs="Courier New" w:eastAsiaTheme="minorHAnsi"/>
          <w:color w:val="202124"/>
          <w:szCs w:val="21"/>
          <w:lang w:val="en-US"/>
        </w:rPr>
        <w:t xml:space="preserve"> Energy Germany GmbH, Niederkasseler Lohweg 18, 40547 Düsseldorf, dpo_international@aikosolar.com. Furthermore, Installers may also request data deletion by contacting installer.Community@aikosolar.com.</w:t>
      </w:r>
    </w:p>
    <w:p w14:paraId="5105C510">
      <w:pPr>
        <w:pStyle w:val="31"/>
        <w:numPr>
          <w:ilvl w:val="0"/>
          <w:numId w:val="0"/>
        </w:numPr>
        <w:ind w:leftChars="0"/>
        <w:jc w:val="both"/>
        <w:rPr>
          <w:rFonts w:asciiTheme="minorHAnsi" w:hAnsiTheme="minorHAnsi" w:eastAsiaTheme="minorHAnsi"/>
          <w:color w:val="202124"/>
          <w:sz w:val="21"/>
          <w:szCs w:val="21"/>
          <w:lang w:val="en-US"/>
        </w:rPr>
      </w:pPr>
    </w:p>
    <w:p w14:paraId="5FC5270A">
      <w:pPr>
        <w:pStyle w:val="3"/>
        <w:numPr>
          <w:ilvl w:val="0"/>
          <w:numId w:val="9"/>
        </w:numPr>
        <w:ind w:left="360" w:leftChars="0" w:hanging="360" w:firstLineChars="0"/>
        <w:jc w:val="both"/>
        <w:rPr>
          <w:rFonts w:eastAsia="宋体"/>
          <w:lang w:eastAsia="zh-CN"/>
        </w:rPr>
      </w:pPr>
      <w:r>
        <w:t>Liability</w:t>
      </w:r>
    </w:p>
    <w:p w14:paraId="4C1F392D">
      <w:pPr>
        <w:rPr>
          <w:lang w:eastAsia="zh-CN"/>
        </w:rPr>
      </w:pPr>
    </w:p>
    <w:p w14:paraId="6C63821F">
      <w:pPr>
        <w:pStyle w:val="150"/>
        <w:numPr>
          <w:ilvl w:val="1"/>
          <w:numId w:val="9"/>
        </w:numPr>
        <w:spacing w:after="0" w:line="240" w:lineRule="auto"/>
        <w:ind w:left="720" w:leftChars="0" w:hanging="720" w:firstLineChars="0"/>
        <w:jc w:val="both"/>
        <w:textAlignment w:val="baseline"/>
        <w:rPr>
          <w:rFonts w:eastAsiaTheme="minorHAnsi"/>
          <w:color w:val="000000" w:themeColor="text1"/>
          <w:sz w:val="24"/>
          <w:szCs w:val="24"/>
          <w14:textFill>
            <w14:solidFill>
              <w14:schemeClr w14:val="tx1"/>
            </w14:solidFill>
          </w14:textFill>
        </w:rPr>
      </w:pPr>
      <w:r>
        <w:rPr>
          <w:rFonts w:eastAsiaTheme="minorHAnsi"/>
          <w:color w:val="000000" w:themeColor="text1"/>
          <w14:textFill>
            <w14:solidFill>
              <w14:schemeClr w14:val="tx1"/>
            </w14:solidFill>
          </w14:textFill>
        </w:rPr>
        <w:t>AIKO cannot accept any responsibility for any damage, loss, injury or disappointment suffered by any entrant entering the AIC program or as a result of accepting any Points and/or Gifts. AIKO is not responsible for any problems or technical malfunction of any telephone network or lines, computer on-line systems, servers, or providers, computer equipment, software failure of any email or entry to be received on account of technical problems or traffic congestion on the Internet, telephone lines or at any web site, or any combination thereof, including any injury or damage to entrant’s or any other person’s computer or mobile telephone related to or resulting from participation or downloading any materials in the Competition.</w:t>
      </w:r>
    </w:p>
    <w:p w14:paraId="4083D92C">
      <w:pPr>
        <w:pStyle w:val="150"/>
        <w:numPr>
          <w:ilvl w:val="1"/>
          <w:numId w:val="9"/>
        </w:numPr>
        <w:spacing w:after="0" w:line="240" w:lineRule="auto"/>
        <w:ind w:left="720" w:leftChars="0" w:hanging="720" w:firstLineChars="0"/>
        <w:jc w:val="both"/>
        <w:textAlignment w:val="baseline"/>
        <w:rPr>
          <w:rFonts w:eastAsiaTheme="minorHAnsi"/>
          <w:color w:val="000000" w:themeColor="text1"/>
          <w14:textFill>
            <w14:solidFill>
              <w14:schemeClr w14:val="tx1"/>
            </w14:solidFill>
          </w14:textFill>
        </w:rPr>
      </w:pPr>
      <w:r>
        <w:rPr>
          <w:rFonts w:eastAsiaTheme="minorHAnsi"/>
          <w:color w:val="000000" w:themeColor="text1"/>
          <w14:textFill>
            <w14:solidFill>
              <w14:schemeClr w14:val="tx1"/>
            </w14:solidFill>
          </w14:textFill>
        </w:rPr>
        <w:t>AIKO cannot promise that the services relating to the AIC program will be free from errors or omissions nor that they will be available uninterrupted and in a fully operating condition. These services may be suspended temporarily and without notice in the case of system failure, maintenance or repair or for reasons reasonably beyond the control of AIKO. AIKO will not be liable in the event that all or any part of the service relating to the Competition is discontinued, modified or changed in any way.</w:t>
      </w:r>
    </w:p>
    <w:p w14:paraId="1D2F34D8">
      <w:pPr>
        <w:pStyle w:val="3"/>
        <w:numPr>
          <w:ilvl w:val="0"/>
          <w:numId w:val="9"/>
        </w:numPr>
        <w:ind w:left="360" w:leftChars="0" w:hanging="360" w:firstLineChars="0"/>
        <w:jc w:val="both"/>
      </w:pPr>
      <w:r>
        <w:t>Severability</w:t>
      </w:r>
    </w:p>
    <w:p w14:paraId="370AFD5D">
      <w:pPr>
        <w:jc w:val="both"/>
      </w:pPr>
    </w:p>
    <w:p w14:paraId="3BA6A9C9">
      <w:pPr>
        <w:jc w:val="both"/>
      </w:pPr>
      <w:r>
        <w:t>Should individual provisions of these T&amp;C be invalid or unenforceable or become invalid or unenforceable after conclusion of the contract, this shall not affect the validity of the remainder of this document. The invalid or unenforceable provision shall be replaced by a valid and enforceable provision that comes as close as possible to the economic purpose of the invalid or unenforceable provision. The above provisions shall apply accordingly if this document proves to be incomplete.</w:t>
      </w:r>
    </w:p>
    <w:p w14:paraId="03CC4510">
      <w:pPr>
        <w:pStyle w:val="3"/>
        <w:numPr>
          <w:ilvl w:val="0"/>
          <w:numId w:val="9"/>
        </w:numPr>
        <w:ind w:left="360" w:leftChars="0" w:hanging="360" w:firstLineChars="0"/>
        <w:jc w:val="both"/>
      </w:pPr>
      <w:r>
        <w:t>Acknowledgement, Applicable Law, Jurisdiction</w:t>
      </w:r>
    </w:p>
    <w:p w14:paraId="2C47B73B"/>
    <w:p w14:paraId="38DC77D4">
      <w:pPr>
        <w:pStyle w:val="32"/>
        <w:numPr>
          <w:ilvl w:val="1"/>
          <w:numId w:val="9"/>
        </w:numPr>
        <w:ind w:left="720" w:leftChars="0" w:hanging="720" w:firstLineChars="0"/>
        <w:jc w:val="both"/>
        <w:rPr>
          <w:rFonts w:asciiTheme="minorHAnsi" w:hAnsiTheme="minorHAnsi" w:eastAsiaTheme="minorHAnsi"/>
          <w:color w:val="000000" w:themeColor="text1"/>
          <w:sz w:val="21"/>
          <w:szCs w:val="21"/>
          <w:lang w:val="en-US"/>
          <w14:textFill>
            <w14:solidFill>
              <w14:schemeClr w14:val="tx1"/>
            </w14:solidFill>
          </w14:textFill>
        </w:rPr>
      </w:pPr>
      <w:r>
        <w:rPr>
          <w:rFonts w:asciiTheme="minorHAnsi" w:hAnsiTheme="minorHAnsi"/>
          <w:sz w:val="22"/>
          <w:szCs w:val="22"/>
          <w:lang w:val="en-US"/>
        </w:rPr>
        <w:t>Participation in AIC does not constitute employment or agency with AIKO. AIKO is not responsible for delays in gift shipping or system errors. AIKO will make reasonable efforts to assist with after-sales service for redeemed products but makes no binding commitments or guarantees.</w:t>
      </w:r>
    </w:p>
    <w:p w14:paraId="3A4060F6">
      <w:pPr>
        <w:pStyle w:val="32"/>
        <w:numPr>
          <w:ilvl w:val="1"/>
          <w:numId w:val="9"/>
        </w:numPr>
        <w:ind w:left="720" w:leftChars="0" w:hanging="720" w:firstLineChars="0"/>
        <w:jc w:val="both"/>
        <w:rPr>
          <w:rFonts w:asciiTheme="minorHAnsi" w:hAnsiTheme="minorHAnsi" w:eastAsiaTheme="minorHAnsi"/>
          <w:color w:val="000000" w:themeColor="text1"/>
          <w:sz w:val="21"/>
          <w:szCs w:val="21"/>
          <w:lang w:val="en-US"/>
          <w14:textFill>
            <w14:solidFill>
              <w14:schemeClr w14:val="tx1"/>
            </w14:solidFill>
          </w14:textFill>
        </w:rPr>
      </w:pPr>
      <w:r>
        <w:rPr>
          <w:rFonts w:asciiTheme="minorHAnsi" w:hAnsiTheme="minorHAnsi" w:eastAsiaTheme="minorHAnsi"/>
          <w:color w:val="000000" w:themeColor="text1"/>
          <w:sz w:val="21"/>
          <w:szCs w:val="21"/>
          <w:lang w:val="en-US"/>
          <w14:textFill>
            <w14:solidFill>
              <w14:schemeClr w14:val="tx1"/>
            </w14:solidFill>
          </w14:textFill>
        </w:rPr>
        <w:t>At the time of registration specified under section 3 above, the Participants confirm that they have read and understood these T&amp;C. Acknowledgement of these T&amp;C is documented by the successful confirmation of participation at the latest. A successful participation only results from previous confirmation of T&amp;C. This confirmation certifies that the Participant has read, understood, and accepted the T&amp;C. The AIC program is strictly limited to professional installers and companies. It is not intended for private end consumers.</w:t>
      </w:r>
      <w:r>
        <w:rPr>
          <w:rFonts w:hint="eastAsia" w:eastAsia="宋体" w:asciiTheme="minorHAnsi" w:hAnsiTheme="minorHAnsi"/>
          <w:color w:val="000000" w:themeColor="text1"/>
          <w:sz w:val="21"/>
          <w:szCs w:val="21"/>
          <w:lang w:val="en-US" w:eastAsia="zh-CN"/>
          <w14:textFill>
            <w14:solidFill>
              <w14:schemeClr w14:val="tx1"/>
            </w14:solidFill>
          </w14:textFill>
        </w:rPr>
        <w:t xml:space="preserve"> </w:t>
      </w:r>
      <w:r>
        <w:rPr>
          <w:rFonts w:asciiTheme="minorHAnsi" w:hAnsiTheme="minorHAnsi" w:eastAsiaTheme="minorHAnsi"/>
          <w:color w:val="000000" w:themeColor="text1"/>
          <w:sz w:val="21"/>
          <w:szCs w:val="21"/>
          <w:lang w:val="en-US"/>
          <w14:textFill>
            <w14:solidFill>
              <w14:schemeClr w14:val="tx1"/>
            </w14:solidFill>
          </w14:textFill>
        </w:rPr>
        <w:t xml:space="preserve">The Participant hereby agrees to his entry into the Competition. </w:t>
      </w:r>
    </w:p>
    <w:p w14:paraId="7B273DC7">
      <w:pPr>
        <w:pStyle w:val="32"/>
        <w:numPr>
          <w:ilvl w:val="1"/>
          <w:numId w:val="9"/>
        </w:numPr>
        <w:ind w:left="720" w:leftChars="0" w:hanging="720" w:firstLineChars="0"/>
        <w:jc w:val="both"/>
        <w:rPr>
          <w:rFonts w:asciiTheme="minorHAnsi" w:hAnsiTheme="minorHAnsi" w:eastAsiaTheme="minorHAnsi"/>
          <w:color w:val="000000" w:themeColor="text1"/>
          <w:sz w:val="21"/>
          <w:szCs w:val="21"/>
          <w:lang w:val="en-US"/>
          <w14:textFill>
            <w14:solidFill>
              <w14:schemeClr w14:val="tx1"/>
            </w14:solidFill>
          </w14:textFill>
        </w:rPr>
      </w:pPr>
      <w:r>
        <w:rPr>
          <w:rFonts w:asciiTheme="minorHAnsi" w:hAnsiTheme="minorHAnsi" w:eastAsiaTheme="minorHAnsi"/>
          <w:color w:val="000000" w:themeColor="text1"/>
          <w:sz w:val="21"/>
          <w:szCs w:val="21"/>
          <w:lang w:val="en-US"/>
          <w14:textFill>
            <w14:solidFill>
              <w14:schemeClr w14:val="tx1"/>
            </w14:solidFill>
          </w14:textFill>
        </w:rPr>
        <w:t>Apart from mandatory consumer protection regulations these T&amp;C are governed by German law, the place of jurisdiction for non-consumers is Düsseldorf, Germany.</w:t>
      </w:r>
    </w:p>
    <w:p w14:paraId="60162F42">
      <w:pPr>
        <w:pStyle w:val="32"/>
        <w:jc w:val="both"/>
        <w:rPr>
          <w:rFonts w:eastAsia="宋体" w:asciiTheme="minorHAnsi" w:hAnsiTheme="minorHAnsi"/>
          <w:color w:val="000000" w:themeColor="text1"/>
          <w:sz w:val="21"/>
          <w:szCs w:val="21"/>
          <w:lang w:val="en-US"/>
          <w14:textFill>
            <w14:solidFill>
              <w14:schemeClr w14:val="tx1"/>
            </w14:solidFill>
          </w14:textFill>
        </w:rPr>
      </w:pPr>
    </w:p>
    <w:p w14:paraId="7B3AFE3F">
      <w:pPr>
        <w:pStyle w:val="3"/>
        <w:numPr>
          <w:ilvl w:val="0"/>
          <w:numId w:val="9"/>
        </w:numPr>
        <w:ind w:left="360" w:leftChars="0" w:hanging="360" w:firstLineChars="0"/>
      </w:pPr>
      <w:r>
        <w:t>General Terms</w:t>
      </w:r>
    </w:p>
    <w:p w14:paraId="298D053A">
      <w:pPr>
        <w:numPr>
          <w:ilvl w:val="0"/>
          <w:numId w:val="0"/>
        </w:numPr>
      </w:pPr>
    </w:p>
    <w:p w14:paraId="09BD944F">
      <w:pPr>
        <w:pStyle w:val="32"/>
        <w:numPr>
          <w:ilvl w:val="1"/>
          <w:numId w:val="9"/>
        </w:numPr>
        <w:ind w:left="720" w:leftChars="0" w:hanging="720" w:firstLineChars="0"/>
        <w:jc w:val="both"/>
        <w:rPr>
          <w:rFonts w:hint="eastAsia" w:asciiTheme="minorHAnsi" w:hAnsiTheme="minorHAnsi"/>
          <w:sz w:val="22"/>
          <w:szCs w:val="22"/>
          <w:lang w:val="en-US"/>
        </w:rPr>
      </w:pPr>
      <w:r>
        <w:rPr>
          <w:rFonts w:hint="eastAsia" w:asciiTheme="minorHAnsi" w:hAnsiTheme="minorHAnsi"/>
          <w:sz w:val="22"/>
          <w:szCs w:val="22"/>
          <w:lang w:val="en-US"/>
        </w:rPr>
        <w:t>AIKO reserves the right to amend or terminate specific rewards, redemption rules, or campaigns with prior notice.</w:t>
      </w:r>
    </w:p>
    <w:p w14:paraId="151FFE59">
      <w:pPr>
        <w:pStyle w:val="32"/>
        <w:numPr>
          <w:ilvl w:val="1"/>
          <w:numId w:val="9"/>
        </w:numPr>
        <w:ind w:left="720" w:leftChars="0" w:hanging="720" w:firstLineChars="0"/>
        <w:jc w:val="both"/>
        <w:rPr>
          <w:rFonts w:hint="eastAsia" w:asciiTheme="minorHAnsi" w:hAnsiTheme="minorHAnsi"/>
          <w:sz w:val="22"/>
          <w:szCs w:val="22"/>
          <w:lang w:val="en-US"/>
        </w:rPr>
      </w:pPr>
      <w:r>
        <w:rPr>
          <w:rFonts w:hint="eastAsia" w:asciiTheme="minorHAnsi" w:hAnsiTheme="minorHAnsi"/>
          <w:sz w:val="22"/>
          <w:szCs w:val="22"/>
          <w:lang w:val="en-US"/>
        </w:rPr>
        <w:t>In case of disputes, AIKO reserves the final right of interpretation.</w:t>
      </w:r>
    </w:p>
    <w:p w14:paraId="67B9367E">
      <w:pPr>
        <w:pStyle w:val="32"/>
      </w:pPr>
    </w:p>
    <w:p w14:paraId="44A2BCE9">
      <w:pPr>
        <w:pStyle w:val="3"/>
        <w:numPr>
          <w:ilvl w:val="0"/>
          <w:numId w:val="9"/>
        </w:numPr>
        <w:ind w:left="360" w:leftChars="0" w:hanging="360" w:firstLineChars="0"/>
        <w:rPr>
          <w:rFonts w:hint="eastAsia"/>
        </w:rPr>
      </w:pPr>
      <w:r>
        <w:rPr>
          <w:rFonts w:hint="eastAsia"/>
        </w:rPr>
        <w:t>2026 “First Invoice” Campaign – Specific Terms</w:t>
      </w:r>
    </w:p>
    <w:p w14:paraId="06B8F6AD">
      <w:pPr>
        <w:rPr>
          <w:rFonts w:hint="eastAsia"/>
        </w:rPr>
      </w:pPr>
    </w:p>
    <w:p w14:paraId="72068083">
      <w:pPr>
        <w:pStyle w:val="32"/>
        <w:numPr>
          <w:ilvl w:val="1"/>
          <w:numId w:val="9"/>
        </w:numPr>
        <w:ind w:left="720" w:leftChars="0" w:hanging="7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Campaign Period</w:t>
      </w:r>
      <w:r>
        <w:rPr>
          <w:rFonts w:hint="default" w:eastAsia="宋体" w:asciiTheme="minorHAnsi" w:hAnsiTheme="minorHAnsi"/>
          <w:color w:val="000000" w:themeColor="text1"/>
          <w:sz w:val="21"/>
          <w:szCs w:val="21"/>
          <w:lang w:val="en-US" w:eastAsia="zh-CN"/>
          <w14:textFill>
            <w14:solidFill>
              <w14:schemeClr w14:val="tx1"/>
            </w14:solidFill>
          </w14:textFill>
        </w:rPr>
        <w:t xml:space="preserve">: </w:t>
      </w:r>
      <w:r>
        <w:rPr>
          <w:rFonts w:hint="eastAsia" w:eastAsia="宋体" w:asciiTheme="minorHAnsi" w:hAnsiTheme="minorHAnsi"/>
          <w:color w:val="000000" w:themeColor="text1"/>
          <w:sz w:val="21"/>
          <w:szCs w:val="21"/>
          <w:lang w:val="de-DE" w:eastAsia="zh-CN"/>
          <w14:textFill>
            <w14:solidFill>
              <w14:schemeClr w14:val="tx1"/>
            </w14:solidFill>
          </w14:textFill>
        </w:rPr>
        <w:t>The “2026 First Invoice” campaign is valid from 1 January 2026 to 31 March 2026 (inclusive). AIKO reserves the right to adjust the campaign period if required for operational or legal reasons.</w:t>
      </w:r>
    </w:p>
    <w:p w14:paraId="1E8868AC">
      <w:pPr>
        <w:pStyle w:val="32"/>
        <w:numPr>
          <w:ilvl w:val="1"/>
          <w:numId w:val="9"/>
        </w:numPr>
        <w:ind w:left="720" w:leftChars="0" w:hanging="7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Eligibility</w:t>
      </w:r>
      <w:r>
        <w:rPr>
          <w:rFonts w:hint="default" w:eastAsia="宋体" w:asciiTheme="minorHAnsi" w:hAnsiTheme="minorHAnsi"/>
          <w:color w:val="000000" w:themeColor="text1"/>
          <w:sz w:val="21"/>
          <w:szCs w:val="21"/>
          <w:lang w:val="en-US" w:eastAsia="zh-CN"/>
          <w14:textFill>
            <w14:solidFill>
              <w14:schemeClr w14:val="tx1"/>
            </w14:solidFill>
          </w14:textFill>
        </w:rPr>
        <w:t xml:space="preserve">: </w:t>
      </w:r>
      <w:r>
        <w:rPr>
          <w:rFonts w:hint="eastAsia" w:eastAsia="宋体" w:asciiTheme="minorHAnsi" w:hAnsiTheme="minorHAnsi"/>
          <w:color w:val="000000" w:themeColor="text1"/>
          <w:sz w:val="21"/>
          <w:szCs w:val="21"/>
          <w:lang w:val="de-DE" w:eastAsia="zh-CN"/>
          <w14:textFill>
            <w14:solidFill>
              <w14:schemeClr w14:val="tx1"/>
            </w14:solidFill>
          </w14:textFill>
        </w:rPr>
        <w:t>The campaign is open exclusively to verified AIKO Installer Community (AIC) members operating within Europe, excluding Italy due to local regulatory requirements.</w:t>
      </w:r>
      <w:r>
        <w:rPr>
          <w:rFonts w:hint="default" w:eastAsia="宋体" w:asciiTheme="minorHAnsi" w:hAnsiTheme="minorHAnsi"/>
          <w:color w:val="000000" w:themeColor="text1"/>
          <w:sz w:val="21"/>
          <w:szCs w:val="21"/>
          <w:lang w:val="en-US" w:eastAsia="zh-CN"/>
          <w14:textFill>
            <w14:solidFill>
              <w14:schemeClr w14:val="tx1"/>
            </w14:solidFill>
          </w14:textFill>
        </w:rPr>
        <w:t xml:space="preserve"> </w:t>
      </w:r>
      <w:r>
        <w:rPr>
          <w:rFonts w:hint="eastAsia" w:eastAsia="宋体" w:asciiTheme="minorHAnsi" w:hAnsiTheme="minorHAnsi"/>
          <w:color w:val="000000" w:themeColor="text1"/>
          <w:sz w:val="21"/>
          <w:szCs w:val="21"/>
          <w:lang w:val="de-DE" w:eastAsia="zh-CN"/>
          <w14:textFill>
            <w14:solidFill>
              <w14:schemeClr w14:val="tx1"/>
            </w14:solidFill>
          </w14:textFill>
        </w:rPr>
        <w:t>Participation is limited to professional business entities (B2B). Private individuals are not eligible.</w:t>
      </w:r>
    </w:p>
    <w:p w14:paraId="555E5188">
      <w:pPr>
        <w:pStyle w:val="32"/>
        <w:numPr>
          <w:ilvl w:val="1"/>
          <w:numId w:val="9"/>
        </w:numPr>
        <w:ind w:left="720" w:leftChars="0" w:hanging="7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Definition of “First Order”</w:t>
      </w:r>
      <w:r>
        <w:rPr>
          <w:rFonts w:hint="default" w:eastAsia="宋体" w:asciiTheme="minorHAnsi" w:hAnsiTheme="minorHAnsi"/>
          <w:color w:val="000000" w:themeColor="text1"/>
          <w:sz w:val="21"/>
          <w:szCs w:val="21"/>
          <w:lang w:val="en-US" w:eastAsia="zh-CN"/>
          <w14:textFill>
            <w14:solidFill>
              <w14:schemeClr w14:val="tx1"/>
            </w14:solidFill>
          </w14:textFill>
        </w:rPr>
        <w:t xml:space="preserve">: </w:t>
      </w:r>
      <w:r>
        <w:rPr>
          <w:rFonts w:hint="eastAsia" w:eastAsia="宋体" w:asciiTheme="minorHAnsi" w:hAnsiTheme="minorHAnsi"/>
          <w:color w:val="000000" w:themeColor="text1"/>
          <w:sz w:val="21"/>
          <w:szCs w:val="21"/>
          <w:lang w:val="de-DE" w:eastAsia="zh-CN"/>
          <w14:textFill>
            <w14:solidFill>
              <w14:schemeClr w14:val="tx1"/>
            </w14:solidFill>
          </w14:textFill>
        </w:rPr>
        <w:t>For the purpose of this campaign, “First Order” shall mean the earliest valid AIKO product invoice issued within the campaign period under one unique VAT registration number.</w:t>
      </w:r>
      <w:r>
        <w:rPr>
          <w:rFonts w:hint="default" w:eastAsia="宋体" w:asciiTheme="minorHAnsi" w:hAnsiTheme="minorHAnsi"/>
          <w:color w:val="000000" w:themeColor="text1"/>
          <w:sz w:val="21"/>
          <w:szCs w:val="21"/>
          <w:lang w:val="en-US" w:eastAsia="zh-CN"/>
          <w14:textFill>
            <w14:solidFill>
              <w14:schemeClr w14:val="tx1"/>
            </w14:solidFill>
          </w14:textFill>
        </w:rPr>
        <w:t xml:space="preserve"> </w:t>
      </w:r>
      <w:r>
        <w:rPr>
          <w:rFonts w:hint="eastAsia" w:eastAsia="宋体" w:asciiTheme="minorHAnsi" w:hAnsiTheme="minorHAnsi"/>
          <w:color w:val="000000" w:themeColor="text1"/>
          <w:sz w:val="21"/>
          <w:szCs w:val="21"/>
          <w:lang w:val="de-DE" w:eastAsia="zh-CN"/>
          <w14:textFill>
            <w14:solidFill>
              <w14:schemeClr w14:val="tx1"/>
            </w14:solidFill>
          </w14:textFill>
        </w:rPr>
        <w:t>If multiple invoices are uploaded, only the invoice with the earliest issuance date within the campaign period shall qualify.</w:t>
      </w:r>
    </w:p>
    <w:p w14:paraId="51D9848E">
      <w:pPr>
        <w:pStyle w:val="32"/>
        <w:numPr>
          <w:ilvl w:val="1"/>
          <w:numId w:val="9"/>
        </w:numPr>
        <w:ind w:left="720" w:leftChars="0" w:hanging="7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Participation Mechanism</w:t>
      </w:r>
      <w:r>
        <w:rPr>
          <w:rFonts w:hint="default" w:eastAsia="宋体" w:asciiTheme="minorHAnsi" w:hAnsiTheme="minorHAnsi"/>
          <w:color w:val="000000" w:themeColor="text1"/>
          <w:sz w:val="21"/>
          <w:szCs w:val="21"/>
          <w:lang w:val="en-US" w:eastAsia="zh-CN"/>
          <w14:textFill>
            <w14:solidFill>
              <w14:schemeClr w14:val="tx1"/>
            </w14:solidFill>
          </w14:textFill>
        </w:rPr>
        <w:t xml:space="preserve">: </w:t>
      </w:r>
      <w:r>
        <w:rPr>
          <w:rFonts w:hint="eastAsia" w:eastAsia="宋体" w:asciiTheme="minorHAnsi" w:hAnsiTheme="minorHAnsi"/>
          <w:color w:val="000000" w:themeColor="text1"/>
          <w:sz w:val="21"/>
          <w:szCs w:val="21"/>
          <w:lang w:val="de-DE" w:eastAsia="zh-CN"/>
          <w14:textFill>
            <w14:solidFill>
              <w14:schemeClr w14:val="tx1"/>
            </w14:solidFill>
          </w14:textFill>
        </w:rPr>
        <w:t>Eligible installers automatically participate in the campaign upon successful upload and approval of a valid invoice within the campaign period.</w:t>
      </w:r>
      <w:r>
        <w:rPr>
          <w:rFonts w:hint="default" w:eastAsia="宋体" w:asciiTheme="minorHAnsi" w:hAnsiTheme="minorHAnsi"/>
          <w:color w:val="000000" w:themeColor="text1"/>
          <w:sz w:val="21"/>
          <w:szCs w:val="21"/>
          <w:lang w:val="en-US" w:eastAsia="zh-CN"/>
          <w14:textFill>
            <w14:solidFill>
              <w14:schemeClr w14:val="tx1"/>
            </w14:solidFill>
          </w14:textFill>
        </w:rPr>
        <w:t xml:space="preserve"> </w:t>
      </w:r>
      <w:r>
        <w:rPr>
          <w:rFonts w:hint="eastAsia" w:eastAsia="宋体" w:asciiTheme="minorHAnsi" w:hAnsiTheme="minorHAnsi"/>
          <w:color w:val="000000" w:themeColor="text1"/>
          <w:sz w:val="21"/>
          <w:szCs w:val="21"/>
          <w:lang w:val="de-DE" w:eastAsia="zh-CN"/>
          <w14:textFill>
            <w14:solidFill>
              <w14:schemeClr w14:val="tx1"/>
            </w14:solidFill>
          </w14:textFill>
        </w:rPr>
        <w:t>No separate application is required.</w:t>
      </w:r>
    </w:p>
    <w:p w14:paraId="09853E50">
      <w:pPr>
        <w:pStyle w:val="32"/>
        <w:numPr>
          <w:ilvl w:val="1"/>
          <w:numId w:val="9"/>
        </w:numPr>
        <w:ind w:left="720" w:leftChars="0" w:hanging="7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Triple Points Incentive</w:t>
      </w:r>
      <w:r>
        <w:rPr>
          <w:rFonts w:hint="default" w:eastAsia="宋体" w:asciiTheme="minorHAnsi" w:hAnsiTheme="minorHAnsi"/>
          <w:color w:val="000000" w:themeColor="text1"/>
          <w:sz w:val="21"/>
          <w:szCs w:val="21"/>
          <w:lang w:val="en-US" w:eastAsia="zh-CN"/>
          <w14:textFill>
            <w14:solidFill>
              <w14:schemeClr w14:val="tx1"/>
            </w14:solidFill>
          </w14:textFill>
        </w:rPr>
        <w:t xml:space="preserve">: </w:t>
      </w:r>
      <w:r>
        <w:rPr>
          <w:rFonts w:hint="eastAsia" w:eastAsia="宋体" w:asciiTheme="minorHAnsi" w:hAnsiTheme="minorHAnsi"/>
          <w:color w:val="000000" w:themeColor="text1"/>
          <w:sz w:val="21"/>
          <w:szCs w:val="21"/>
          <w:lang w:val="de-DE" w:eastAsia="zh-CN"/>
          <w14:textFill>
            <w14:solidFill>
              <w14:schemeClr w14:val="tx1"/>
            </w14:solidFill>
          </w14:textFill>
        </w:rPr>
        <w:t>For the qualifying first order only, approved invoice volume will receive triple AIC points according to the standard points calculation rules.</w:t>
      </w:r>
      <w:r>
        <w:rPr>
          <w:rFonts w:hint="default" w:eastAsia="宋体" w:asciiTheme="minorHAnsi" w:hAnsiTheme="minorHAnsi"/>
          <w:color w:val="000000" w:themeColor="text1"/>
          <w:sz w:val="21"/>
          <w:szCs w:val="21"/>
          <w:lang w:val="en-US" w:eastAsia="zh-CN"/>
          <w14:textFill>
            <w14:solidFill>
              <w14:schemeClr w14:val="tx1"/>
            </w14:solidFill>
          </w14:textFill>
        </w:rPr>
        <w:t xml:space="preserve"> </w:t>
      </w:r>
      <w:r>
        <w:rPr>
          <w:rFonts w:hint="eastAsia" w:eastAsia="宋体" w:asciiTheme="minorHAnsi" w:hAnsiTheme="minorHAnsi"/>
          <w:color w:val="000000" w:themeColor="text1"/>
          <w:sz w:val="21"/>
          <w:szCs w:val="21"/>
          <w:lang w:val="de-DE" w:eastAsia="zh-CN"/>
          <w14:textFill>
            <w14:solidFill>
              <w14:schemeClr w14:val="tx1"/>
            </w14:solidFill>
          </w14:textFill>
        </w:rPr>
        <w:t>Points will be credited automatically upon invoice approval.</w:t>
      </w:r>
      <w:r>
        <w:rPr>
          <w:rFonts w:hint="default" w:eastAsia="宋体" w:asciiTheme="minorHAnsi" w:hAnsiTheme="minorHAnsi"/>
          <w:color w:val="000000" w:themeColor="text1"/>
          <w:sz w:val="21"/>
          <w:szCs w:val="21"/>
          <w:lang w:val="en-US" w:eastAsia="zh-CN"/>
          <w14:textFill>
            <w14:solidFill>
              <w14:schemeClr w14:val="tx1"/>
            </w14:solidFill>
          </w14:textFill>
        </w:rPr>
        <w:t xml:space="preserve"> </w:t>
      </w:r>
      <w:r>
        <w:rPr>
          <w:rFonts w:hint="eastAsia" w:eastAsia="宋体" w:asciiTheme="minorHAnsi" w:hAnsiTheme="minorHAnsi"/>
          <w:color w:val="000000" w:themeColor="text1"/>
          <w:sz w:val="21"/>
          <w:szCs w:val="21"/>
          <w:lang w:val="de-DE" w:eastAsia="zh-CN"/>
          <w14:textFill>
            <w14:solidFill>
              <w14:schemeClr w14:val="tx1"/>
            </w14:solidFill>
          </w14:textFill>
        </w:rPr>
        <w:t>Participation in the campaign does not guarantee any prize or reward beyond the triple points mechanism.</w:t>
      </w:r>
    </w:p>
    <w:p w14:paraId="1F1AB554">
      <w:pPr>
        <w:pStyle w:val="32"/>
        <w:numPr>
          <w:ilvl w:val="1"/>
          <w:numId w:val="9"/>
        </w:numPr>
        <w:ind w:left="720" w:leftChars="0" w:hanging="7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Prize Draw Mechanism</w:t>
      </w:r>
      <w:r>
        <w:rPr>
          <w:rFonts w:hint="default" w:eastAsia="宋体" w:asciiTheme="minorHAnsi" w:hAnsiTheme="minorHAnsi"/>
          <w:color w:val="000000" w:themeColor="text1"/>
          <w:sz w:val="21"/>
          <w:szCs w:val="21"/>
          <w:lang w:val="en-US" w:eastAsia="zh-CN"/>
          <w14:textFill>
            <w14:solidFill>
              <w14:schemeClr w14:val="tx1"/>
            </w14:solidFill>
          </w14:textFill>
        </w:rPr>
        <w:t xml:space="preserve">: </w:t>
      </w:r>
      <w:r>
        <w:rPr>
          <w:rFonts w:hint="eastAsia" w:eastAsia="宋体" w:asciiTheme="minorHAnsi" w:hAnsiTheme="minorHAnsi"/>
          <w:color w:val="000000" w:themeColor="text1"/>
          <w:sz w:val="21"/>
          <w:szCs w:val="21"/>
          <w:lang w:val="de-DE" w:eastAsia="zh-CN"/>
          <w14:textFill>
            <w14:solidFill>
              <w14:schemeClr w14:val="tx1"/>
            </w14:solidFill>
          </w14:textFill>
        </w:rPr>
        <w:t>The prize pool may include (but is not limited to):</w:t>
      </w:r>
    </w:p>
    <w:p w14:paraId="5D8666F3">
      <w:pPr>
        <w:pStyle w:val="32"/>
        <w:numPr>
          <w:ilvl w:val="0"/>
          <w:numId w:val="14"/>
        </w:numPr>
        <w:ind w:left="840" w:leftChars="0" w:hanging="4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China Trip experience or equivalent reward</w:t>
      </w:r>
    </w:p>
    <w:p w14:paraId="5F939E80">
      <w:pPr>
        <w:pStyle w:val="32"/>
        <w:numPr>
          <w:ilvl w:val="0"/>
          <w:numId w:val="14"/>
        </w:numPr>
        <w:ind w:left="840" w:leftChars="0" w:hanging="4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Smartphone device or equivalent reward</w:t>
      </w:r>
    </w:p>
    <w:p w14:paraId="7A2FE6A4">
      <w:pPr>
        <w:pStyle w:val="32"/>
        <w:numPr>
          <w:ilvl w:val="0"/>
          <w:numId w:val="14"/>
        </w:numPr>
        <w:ind w:left="840" w:leftChars="0" w:hanging="4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Multiple AIKO gift packages of equivalent commercial value</w:t>
      </w:r>
    </w:p>
    <w:p w14:paraId="3A62EF26">
      <w:pPr>
        <w:pStyle w:val="32"/>
        <w:numPr>
          <w:ilvl w:val="0"/>
          <w:numId w:val="14"/>
        </w:numPr>
        <w:ind w:left="840" w:leftChars="0" w:hanging="4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Winners will be selected through a random digital selection process conducted internally by AIKO after the campaign period concludes.</w:t>
      </w:r>
    </w:p>
    <w:p w14:paraId="535C15E3">
      <w:pPr>
        <w:pStyle w:val="32"/>
        <w:numPr>
          <w:ilvl w:val="0"/>
          <w:numId w:val="14"/>
        </w:numPr>
        <w:ind w:left="840" w:leftChars="0" w:hanging="4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The selection process will be based on the timestamp of approved invoice uploads within the campaign system.</w:t>
      </w:r>
    </w:p>
    <w:p w14:paraId="78480830">
      <w:pPr>
        <w:pStyle w:val="32"/>
        <w:numPr>
          <w:ilvl w:val="0"/>
          <w:numId w:val="14"/>
        </w:numPr>
        <w:ind w:left="840" w:leftChars="0" w:hanging="4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AIKO reserves the right to substitute any prize with another prize of equal or greater value if necessary.</w:t>
      </w:r>
    </w:p>
    <w:p w14:paraId="3102C6AA">
      <w:pPr>
        <w:pStyle w:val="32"/>
        <w:numPr>
          <w:ilvl w:val="0"/>
          <w:numId w:val="14"/>
        </w:numPr>
        <w:ind w:left="840" w:leftChars="0" w:hanging="4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Prizes are non-transferable, non-refundable, and cannot be exchanged for cash.</w:t>
      </w:r>
    </w:p>
    <w:p w14:paraId="7A83DCD9">
      <w:pPr>
        <w:pStyle w:val="32"/>
        <w:numPr>
          <w:ilvl w:val="0"/>
          <w:numId w:val="14"/>
        </w:numPr>
        <w:ind w:left="840" w:leftChars="0" w:hanging="4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If a selected winner cannot be contacted within fourteen (14) calendar days after notification, AIKO reserves the right to select an alternative winner.</w:t>
      </w:r>
    </w:p>
    <w:p w14:paraId="646C33B2">
      <w:pPr>
        <w:pStyle w:val="32"/>
        <w:numPr>
          <w:ilvl w:val="0"/>
          <w:numId w:val="14"/>
        </w:numPr>
        <w:ind w:left="840" w:leftChars="0" w:hanging="4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Participation does not guarantee winning.</w:t>
      </w:r>
    </w:p>
    <w:p w14:paraId="083B2DDA">
      <w:pPr>
        <w:pStyle w:val="32"/>
        <w:numPr>
          <w:ilvl w:val="1"/>
          <w:numId w:val="9"/>
        </w:numPr>
        <w:ind w:left="720" w:leftChars="0" w:hanging="7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China Trip Terms</w:t>
      </w:r>
    </w:p>
    <w:p w14:paraId="4F54F408">
      <w:pPr>
        <w:pStyle w:val="32"/>
        <w:ind w:left="720" w:firstLine="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The China Trip reward is subject to the following conditions:</w:t>
      </w:r>
    </w:p>
    <w:p w14:paraId="05BDF8C3">
      <w:pPr>
        <w:pStyle w:val="32"/>
        <w:numPr>
          <w:ilvl w:val="0"/>
          <w:numId w:val="15"/>
        </w:numPr>
        <w:ind w:left="840" w:leftChars="0" w:hanging="4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Travel dates will be determined by AIKO.</w:t>
      </w:r>
    </w:p>
    <w:p w14:paraId="439AA335">
      <w:pPr>
        <w:pStyle w:val="32"/>
        <w:numPr>
          <w:ilvl w:val="0"/>
          <w:numId w:val="15"/>
        </w:numPr>
        <w:ind w:left="840" w:leftChars="0" w:hanging="4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Visa applications, passport validity, and related travel documentation are the sole responsibility of the participant.</w:t>
      </w:r>
    </w:p>
    <w:p w14:paraId="4A6D8468">
      <w:pPr>
        <w:pStyle w:val="32"/>
        <w:numPr>
          <w:ilvl w:val="0"/>
          <w:numId w:val="15"/>
        </w:numPr>
        <w:ind w:left="840" w:leftChars="0" w:hanging="4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AIKO is not responsible for visa refusals, travel restrictions, force majeure events, or external circumstances beyond its control.</w:t>
      </w:r>
    </w:p>
    <w:p w14:paraId="3EB51F2F">
      <w:pPr>
        <w:pStyle w:val="32"/>
        <w:numPr>
          <w:ilvl w:val="0"/>
          <w:numId w:val="15"/>
        </w:numPr>
        <w:ind w:left="840" w:leftChars="0" w:hanging="420" w:firstLineChars="0"/>
        <w:jc w:val="both"/>
        <w:rPr>
          <w:rFonts w:hint="eastAsia" w:eastAsia="宋体" w:asciiTheme="minorHAnsi" w:hAnsiTheme="minorHAnsi"/>
          <w:color w:val="000000" w:themeColor="text1"/>
          <w:sz w:val="21"/>
          <w:szCs w:val="21"/>
          <w:lang w:val="en-US"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In case the trip cannot be fulfilled due to regulatory, geopolitical, or force majeure reasons, AIKO reserves the right to provide an alternative reward of equivalent value.</w:t>
      </w:r>
      <w:r>
        <w:rPr>
          <w:rFonts w:hint="eastAsia" w:eastAsia="宋体" w:asciiTheme="minorHAnsi" w:hAnsiTheme="minorHAnsi"/>
          <w:color w:val="000000" w:themeColor="text1"/>
          <w:sz w:val="21"/>
          <w:szCs w:val="21"/>
          <w:lang w:val="en-US" w:eastAsia="zh-CN"/>
          <w14:textFill>
            <w14:solidFill>
              <w14:schemeClr w14:val="tx1"/>
            </w14:solidFill>
          </w14:textFill>
        </w:rPr>
        <w:t xml:space="preserve"> </w:t>
      </w:r>
    </w:p>
    <w:p w14:paraId="59F9914D">
      <w:pPr>
        <w:pStyle w:val="32"/>
        <w:numPr>
          <w:ilvl w:val="0"/>
          <w:numId w:val="15"/>
        </w:numPr>
        <w:ind w:left="840" w:leftChars="0" w:hanging="420" w:firstLineChars="0"/>
        <w:jc w:val="both"/>
        <w:rPr>
          <w:rFonts w:hint="default" w:eastAsia="宋体" w:asciiTheme="minorHAnsi" w:hAnsiTheme="minorHAnsi"/>
          <w:color w:val="000000" w:themeColor="text1"/>
          <w:sz w:val="21"/>
          <w:szCs w:val="21"/>
          <w:lang w:val="en-US" w:eastAsia="zh-CN"/>
          <w14:textFill>
            <w14:solidFill>
              <w14:schemeClr w14:val="tx1"/>
            </w14:solidFill>
          </w14:textFill>
        </w:rPr>
      </w:pPr>
      <w:r>
        <w:rPr>
          <w:rFonts w:hint="eastAsia" w:eastAsia="宋体" w:asciiTheme="minorHAnsi" w:hAnsiTheme="minorHAnsi"/>
          <w:color w:val="000000" w:themeColor="text1"/>
          <w:sz w:val="21"/>
          <w:szCs w:val="21"/>
          <w:lang w:val="en-US" w:eastAsia="zh-CN"/>
          <w14:textFill>
            <w14:solidFill>
              <w14:schemeClr w14:val="tx1"/>
            </w14:solidFill>
          </w14:textFill>
        </w:rPr>
        <w:t>The China Trip does not constitute a commercial incentive tied to product resale or purchase obligations beyond the campaign participation rules.</w:t>
      </w:r>
    </w:p>
    <w:p w14:paraId="23EED313">
      <w:pPr>
        <w:pStyle w:val="32"/>
        <w:numPr>
          <w:ilvl w:val="1"/>
          <w:numId w:val="9"/>
        </w:numPr>
        <w:ind w:left="720" w:leftChars="0" w:hanging="7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Tax Responsibility</w:t>
      </w:r>
    </w:p>
    <w:p w14:paraId="6469326B">
      <w:pPr>
        <w:pStyle w:val="32"/>
        <w:ind w:left="720" w:firstLine="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All taxes, duties, and reporting obligations related to prizes or rewards are solely the responsibility of the recipient.</w:t>
      </w:r>
    </w:p>
    <w:p w14:paraId="0C145A2C">
      <w:pPr>
        <w:pStyle w:val="32"/>
        <w:ind w:left="720" w:firstLine="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AIKO does not withhold, declare, or pay taxes on behalf of participants unless required by mandatory local law.</w:t>
      </w:r>
    </w:p>
    <w:p w14:paraId="3B7C2994">
      <w:pPr>
        <w:pStyle w:val="32"/>
        <w:numPr>
          <w:ilvl w:val="1"/>
          <w:numId w:val="9"/>
        </w:numPr>
        <w:ind w:left="720" w:leftChars="0" w:hanging="720" w:firstLineChars="0"/>
        <w:jc w:val="both"/>
        <w:rPr>
          <w:rFonts w:hint="default" w:eastAsia="宋体" w:asciiTheme="minorHAnsi" w:hAnsiTheme="minorHAnsi"/>
          <w:color w:val="000000" w:themeColor="text1"/>
          <w:sz w:val="21"/>
          <w:szCs w:val="21"/>
          <w:lang w:val="en-US"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First-Come, First-Served Benefits</w:t>
      </w:r>
      <w:r>
        <w:rPr>
          <w:rFonts w:hint="default" w:eastAsia="宋体" w:asciiTheme="minorHAnsi" w:hAnsiTheme="minorHAnsi"/>
          <w:color w:val="000000" w:themeColor="text1"/>
          <w:sz w:val="21"/>
          <w:szCs w:val="21"/>
          <w:lang w:val="en-US" w:eastAsia="zh-CN"/>
          <w14:textFill>
            <w14:solidFill>
              <w14:schemeClr w14:val="tx1"/>
            </w14:solidFill>
          </w14:textFill>
        </w:rPr>
        <w:t xml:space="preserve">: </w:t>
      </w:r>
      <w:r>
        <w:rPr>
          <w:rFonts w:hint="eastAsia" w:eastAsia="宋体" w:asciiTheme="minorHAnsi" w:hAnsiTheme="minorHAnsi"/>
          <w:color w:val="000000" w:themeColor="text1"/>
          <w:sz w:val="21"/>
          <w:szCs w:val="21"/>
          <w:lang w:val="de-DE" w:eastAsia="zh-CN"/>
          <w14:textFill>
            <w14:solidFill>
              <w14:schemeClr w14:val="tx1"/>
            </w14:solidFill>
          </w14:textFill>
        </w:rPr>
        <w:t>Where campaign benefits are subject to quantity limitations, allocation will be determined strictly based on the system-recorded timestamp of approved invoice submissions.</w:t>
      </w:r>
      <w:r>
        <w:rPr>
          <w:rFonts w:hint="eastAsia" w:eastAsia="宋体" w:asciiTheme="minorHAnsi" w:hAnsiTheme="minorHAnsi"/>
          <w:color w:val="000000" w:themeColor="text1"/>
          <w:sz w:val="21"/>
          <w:szCs w:val="21"/>
          <w:lang w:val="en-US" w:eastAsia="zh-CN"/>
          <w14:textFill>
            <w14:solidFill>
              <w14:schemeClr w14:val="tx1"/>
            </w14:solidFill>
          </w14:textFill>
        </w:rPr>
        <w:t xml:space="preserve"> AIKO does not guarantee availability once the predefined allocation limit is reached.</w:t>
      </w:r>
    </w:p>
    <w:p w14:paraId="2317C615">
      <w:pPr>
        <w:pStyle w:val="32"/>
        <w:numPr>
          <w:ilvl w:val="1"/>
          <w:numId w:val="9"/>
        </w:numPr>
        <w:ind w:left="720" w:leftChars="0" w:hanging="7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Compliance and Right of Cancellation</w:t>
      </w:r>
    </w:p>
    <w:p w14:paraId="6E9E9BE2">
      <w:pPr>
        <w:pStyle w:val="32"/>
        <w:ind w:left="720" w:firstLine="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AIKO reserves the right to disqualify any participant found to have submitted fraudulent, duplicated, manipulated, or non-compliant invoices.</w:t>
      </w:r>
    </w:p>
    <w:p w14:paraId="1CDA09F9">
      <w:pPr>
        <w:pStyle w:val="32"/>
        <w:ind w:left="720" w:firstLine="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AIKO reserves the right to modify, suspend, or terminate the campaign at any time in the event of legal, regulatory, technical, or operational necessity.</w:t>
      </w:r>
    </w:p>
    <w:p w14:paraId="2B51FB92">
      <w:pPr>
        <w:pStyle w:val="32"/>
        <w:numPr>
          <w:ilvl w:val="1"/>
          <w:numId w:val="9"/>
        </w:numPr>
        <w:ind w:left="720" w:leftChars="0" w:hanging="72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Final Interpretation</w:t>
      </w:r>
    </w:p>
    <w:p w14:paraId="5F23B4A8">
      <w:pPr>
        <w:pStyle w:val="32"/>
        <w:ind w:left="720" w:firstLine="0" w:firstLineChars="0"/>
        <w:jc w:val="both"/>
        <w:rPr>
          <w:rFonts w:hint="eastAsia" w:eastAsia="宋体" w:asciiTheme="minorHAnsi" w:hAnsiTheme="minorHAnsi"/>
          <w:color w:val="000000" w:themeColor="text1"/>
          <w:sz w:val="21"/>
          <w:szCs w:val="21"/>
          <w:lang w:val="de-DE" w:eastAsia="zh-CN"/>
          <w14:textFill>
            <w14:solidFill>
              <w14:schemeClr w14:val="tx1"/>
            </w14:solidFill>
          </w14:textFill>
        </w:rPr>
      </w:pPr>
      <w:r>
        <w:rPr>
          <w:rFonts w:hint="eastAsia" w:eastAsia="宋体" w:asciiTheme="minorHAnsi" w:hAnsiTheme="minorHAnsi"/>
          <w:color w:val="000000" w:themeColor="text1"/>
          <w:sz w:val="21"/>
          <w:szCs w:val="21"/>
          <w:lang w:val="de-DE" w:eastAsia="zh-CN"/>
          <w14:textFill>
            <w14:solidFill>
              <w14:schemeClr w14:val="tx1"/>
            </w14:solidFill>
          </w14:textFill>
        </w:rPr>
        <w:t>To the extent permitted by applicable law, AIKO Installer Community reserves the right of final interpretation.</w:t>
      </w:r>
    </w:p>
    <w:p w14:paraId="2B79FC3F">
      <w:pPr>
        <w:pStyle w:val="3"/>
        <w:jc w:val="both"/>
      </w:pPr>
      <w:r>
        <w:t>Contact Information</w:t>
      </w:r>
    </w:p>
    <w:p w14:paraId="5B2A71D8">
      <w:pPr>
        <w:jc w:val="both"/>
        <w:rPr>
          <w:rFonts w:hint="eastAsia" w:eastAsia="宋体"/>
          <w:lang w:eastAsia="zh-CN"/>
        </w:rPr>
      </w:pPr>
    </w:p>
    <w:p w14:paraId="19128C56">
      <w:pPr>
        <w:jc w:val="both"/>
        <w:rPr>
          <w:rFonts w:hint="eastAsia" w:eastAsia="宋体"/>
          <w:lang w:eastAsia="zh-CN"/>
        </w:rPr>
      </w:pPr>
      <w:r>
        <w:t>Email: Installer.Community@aikosolar.com</w:t>
      </w:r>
    </w:p>
    <w:p w14:paraId="74CBC95D">
      <w:pPr>
        <w:jc w:val="both"/>
        <w:rPr>
          <w:rFonts w:hint="eastAsia" w:eastAsia="宋体"/>
          <w:lang w:eastAsia="zh-CN"/>
        </w:rPr>
      </w:pPr>
      <w:r>
        <w:t xml:space="preserve">Website: </w:t>
      </w:r>
      <w:r>
        <w:rPr>
          <w:rFonts w:hint="eastAsia"/>
        </w:rPr>
        <w:t>https://aikosolar.com/en/aic/</w:t>
      </w:r>
    </w:p>
    <w:p w14:paraId="7D892245">
      <w:pPr>
        <w:jc w:val="both"/>
        <w:rPr>
          <w:rFonts w:hint="eastAsia" w:eastAsia="宋体"/>
          <w:lang w:eastAsia="zh-CN"/>
        </w:rPr>
      </w:pPr>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Cambria">
    <w:altName w:val="苹方-简"/>
    <w:panose1 w:val="02040503050406030204"/>
    <w:charset w:val="00"/>
    <w:family w:val="roman"/>
    <w:pitch w:val="default"/>
    <w:sig w:usb0="00000000" w:usb1="00000000" w:usb2="02000000" w:usb3="00000000" w:csb0="2000019F" w:csb1="00000000"/>
  </w:font>
  <w:font w:name="ＭＳ 明朝">
    <w:altName w:val="Hiragino Sans"/>
    <w:panose1 w:val="00000000000000000000"/>
    <w:charset w:val="00"/>
    <w:family w:val="auto"/>
    <w:pitch w:val="default"/>
    <w:sig w:usb0="00000000" w:usb1="00000000" w:usb2="00000000" w:usb3="00000000" w:csb0="00000000" w:csb1="00000000"/>
  </w:font>
  <w:font w:name="ＭＳ ゴシック">
    <w:altName w:val="苹方-简"/>
    <w:panose1 w:val="00000000000000000000"/>
    <w:charset w:val="00"/>
    <w:family w:val="auto"/>
    <w:pitch w:val="default"/>
    <w:sig w:usb0="00000000" w:usb1="00000000" w:usb2="00000000" w:usb3="00000000" w:csb0="00000000" w:csb1="00000000"/>
  </w:font>
  <w:font w:name="Courier">
    <w:altName w:val="苹方-简"/>
    <w:panose1 w:val="02070409020205020404"/>
    <w:charset w:val="00"/>
    <w:family w:val="auto"/>
    <w:pitch w:val="default"/>
    <w:sig w:usb0="00000000" w:usb1="00000000" w:usb2="00000000" w:usb3="00000000" w:csb0="0000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苹方-简">
    <w:panose1 w:val="020B0400000000000000"/>
    <w:charset w:val="86"/>
    <w:family w:val="auto"/>
    <w:pitch w:val="default"/>
    <w:sig w:usb0="A00002FF" w:usb1="7ACFFDFB" w:usb2="00000017" w:usb3="00000000" w:csb0="00040001" w:csb1="00000000"/>
  </w:font>
  <w:font w:name="Hiragino Sans">
    <w:panose1 w:val="020B0300000000000000"/>
    <w:charset w:val="80"/>
    <w:family w:val="auto"/>
    <w:pitch w:val="default"/>
    <w:sig w:usb0="E00002FF" w:usb1="7AE7FFFF" w:usb2="00000012" w:usb3="00000000" w:csb0="0002000D"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 w:name="Symbol">
    <w:altName w:val="Kingsoft Sign"/>
    <w:panose1 w:val="00000000000000000000"/>
    <w:charset w:val="00"/>
    <w:family w:val="auto"/>
    <w:pitch w:val="default"/>
    <w:sig w:usb0="00000000" w:usb1="00000000" w:usb2="00000000" w:usb3="00000000" w:csb0="00000000" w:csb1="00000000"/>
  </w:font>
  <w:font w:name="Courier New">
    <w:panose1 w:val="02070409020205090404"/>
    <w:charset w:val="00"/>
    <w:family w:val="auto"/>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CFF78E"/>
    <w:multiLevelType w:val="singleLevel"/>
    <w:tmpl w:val="CBCFF78E"/>
    <w:lvl w:ilvl="0" w:tentative="0">
      <w:start w:val="1"/>
      <w:numFmt w:val="bullet"/>
      <w:lvlText w:val=""/>
      <w:lvlJc w:val="left"/>
      <w:pPr>
        <w:tabs>
          <w:tab w:val="left" w:pos="420"/>
        </w:tabs>
        <w:ind w:left="840" w:hanging="420"/>
      </w:pPr>
      <w:rPr>
        <w:rFonts w:hint="default" w:ascii="Wingdings" w:hAnsi="Wingdings"/>
      </w:rPr>
    </w:lvl>
  </w:abstractNum>
  <w:abstractNum w:abstractNumId="1">
    <w:nsid w:val="F9BA92F5"/>
    <w:multiLevelType w:val="singleLevel"/>
    <w:tmpl w:val="F9BA92F5"/>
    <w:lvl w:ilvl="0" w:tentative="0">
      <w:start w:val="1"/>
      <w:numFmt w:val="bullet"/>
      <w:lvlText w:val=""/>
      <w:lvlJc w:val="left"/>
      <w:pPr>
        <w:tabs>
          <w:tab w:val="left" w:pos="420"/>
        </w:tabs>
        <w:ind w:left="840" w:hanging="420"/>
      </w:pPr>
      <w:rPr>
        <w:rFonts w:hint="default" w:ascii="Wingdings" w:hAnsi="Wingdings"/>
      </w:rPr>
    </w:lvl>
  </w:abstractNum>
  <w:abstractNum w:abstractNumId="2">
    <w:nsid w:val="FFFFFF7E"/>
    <w:multiLevelType w:val="singleLevel"/>
    <w:tmpl w:val="FFFFFF7E"/>
    <w:lvl w:ilvl="0" w:tentative="0">
      <w:start w:val="1"/>
      <w:numFmt w:val="decimal"/>
      <w:pStyle w:val="21"/>
      <w:lvlText w:val="%1."/>
      <w:lvlJc w:val="left"/>
      <w:pPr>
        <w:tabs>
          <w:tab w:val="left" w:pos="1080"/>
        </w:tabs>
        <w:ind w:left="1080" w:hanging="360"/>
      </w:pPr>
    </w:lvl>
  </w:abstractNum>
  <w:abstractNum w:abstractNumId="3">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4">
    <w:nsid w:val="FFFFFF82"/>
    <w:multiLevelType w:val="singleLevel"/>
    <w:tmpl w:val="FFFFFF82"/>
    <w:lvl w:ilvl="0" w:tentative="0">
      <w:start w:val="1"/>
      <w:numFmt w:val="bullet"/>
      <w:pStyle w:val="19"/>
      <w:lvlText w:val=""/>
      <w:lvlJc w:val="left"/>
      <w:pPr>
        <w:tabs>
          <w:tab w:val="left" w:pos="1080"/>
        </w:tabs>
        <w:ind w:left="1080" w:hanging="360"/>
      </w:pPr>
      <w:rPr>
        <w:rFonts w:hint="default" w:ascii="Symbol" w:hAnsi="Symbol"/>
      </w:rPr>
    </w:lvl>
  </w:abstractNum>
  <w:abstractNum w:abstractNumId="5">
    <w:nsid w:val="FFFFFF83"/>
    <w:multiLevelType w:val="singleLevel"/>
    <w:tmpl w:val="FFFFFF83"/>
    <w:lvl w:ilvl="0" w:tentative="0">
      <w:start w:val="1"/>
      <w:numFmt w:val="bullet"/>
      <w:pStyle w:val="24"/>
      <w:lvlText w:val=""/>
      <w:lvlJc w:val="left"/>
      <w:pPr>
        <w:tabs>
          <w:tab w:val="left" w:pos="720"/>
        </w:tabs>
        <w:ind w:left="720" w:hanging="360"/>
      </w:pPr>
      <w:rPr>
        <w:rFonts w:hint="default" w:ascii="Symbol" w:hAnsi="Symbol"/>
      </w:rPr>
    </w:lvl>
  </w:abstractNum>
  <w:abstractNum w:abstractNumId="6">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7">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abstractNum w:abstractNumId="8">
    <w:nsid w:val="27D24AC1"/>
    <w:multiLevelType w:val="multilevel"/>
    <w:tmpl w:val="27D24AC1"/>
    <w:lvl w:ilvl="0" w:tentative="0">
      <w:start w:val="3"/>
      <w:numFmt w:val="decimal"/>
      <w:lvlText w:val="%1."/>
      <w:lvlJc w:val="left"/>
      <w:pPr>
        <w:ind w:left="360" w:hanging="360"/>
      </w:pPr>
      <w:rPr>
        <w:rFonts w:hint="default"/>
      </w:rPr>
    </w:lvl>
    <w:lvl w:ilvl="1" w:tentative="0">
      <w:start w:val="1"/>
      <w:numFmt w:val="decimal"/>
      <w:lvlText w:val="%1.%2."/>
      <w:lvlJc w:val="left"/>
      <w:pPr>
        <w:ind w:left="720" w:hanging="7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abstractNum w:abstractNumId="9">
    <w:nsid w:val="54EC71C2"/>
    <w:multiLevelType w:val="singleLevel"/>
    <w:tmpl w:val="54EC71C2"/>
    <w:lvl w:ilvl="0" w:tentative="0">
      <w:start w:val="1"/>
      <w:numFmt w:val="bullet"/>
      <w:lvlText w:val=""/>
      <w:lvlJc w:val="left"/>
      <w:pPr>
        <w:tabs>
          <w:tab w:val="left" w:pos="420"/>
        </w:tabs>
        <w:ind w:left="840" w:hanging="420"/>
      </w:pPr>
      <w:rPr>
        <w:rFonts w:hint="default" w:ascii="Wingdings" w:hAnsi="Wingdings"/>
      </w:rPr>
    </w:lvl>
  </w:abstractNum>
  <w:abstractNum w:abstractNumId="10">
    <w:nsid w:val="5AF94FCC"/>
    <w:multiLevelType w:val="multilevel"/>
    <w:tmpl w:val="5AF94FCC"/>
    <w:lvl w:ilvl="0" w:tentative="0">
      <w:start w:val="1"/>
      <w:numFmt w:val="decimal"/>
      <w:lvlText w:val="%1."/>
      <w:lvlJc w:val="left"/>
      <w:pPr>
        <w:ind w:left="360" w:hanging="360"/>
      </w:pPr>
      <w:rPr>
        <w:rFonts w:hint="default"/>
      </w:rPr>
    </w:lvl>
    <w:lvl w:ilvl="1" w:tentative="0">
      <w:start w:val="1"/>
      <w:numFmt w:val="decimal"/>
      <w:lvlText w:val="%1.%2."/>
      <w:lvlJc w:val="left"/>
      <w:pPr>
        <w:ind w:left="720" w:hanging="7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abstractNum w:abstractNumId="11">
    <w:nsid w:val="5DFAC99D"/>
    <w:multiLevelType w:val="singleLevel"/>
    <w:tmpl w:val="5DFAC99D"/>
    <w:lvl w:ilvl="0" w:tentative="0">
      <w:start w:val="1"/>
      <w:numFmt w:val="bullet"/>
      <w:lvlText w:val=""/>
      <w:lvlJc w:val="left"/>
      <w:pPr>
        <w:tabs>
          <w:tab w:val="left" w:pos="420"/>
        </w:tabs>
        <w:ind w:left="840" w:hanging="420"/>
      </w:pPr>
      <w:rPr>
        <w:rFonts w:hint="default" w:ascii="Wingdings" w:hAnsi="Wingdings"/>
      </w:rPr>
    </w:lvl>
  </w:abstractNum>
  <w:abstractNum w:abstractNumId="12">
    <w:nsid w:val="5E77B3C9"/>
    <w:multiLevelType w:val="singleLevel"/>
    <w:tmpl w:val="5E77B3C9"/>
    <w:lvl w:ilvl="0" w:tentative="0">
      <w:start w:val="1"/>
      <w:numFmt w:val="bullet"/>
      <w:lvlText w:val=""/>
      <w:lvlJc w:val="left"/>
      <w:pPr>
        <w:tabs>
          <w:tab w:val="left" w:pos="420"/>
        </w:tabs>
        <w:ind w:left="840" w:hanging="420"/>
      </w:pPr>
      <w:rPr>
        <w:rFonts w:hint="default" w:ascii="Wingdings" w:hAnsi="Wingdings"/>
      </w:rPr>
    </w:lvl>
  </w:abstractNum>
  <w:abstractNum w:abstractNumId="13">
    <w:nsid w:val="76060810"/>
    <w:multiLevelType w:val="multilevel"/>
    <w:tmpl w:val="76060810"/>
    <w:lvl w:ilvl="0" w:tentative="0">
      <w:start w:val="1"/>
      <w:numFmt w:val="decimal"/>
      <w:lvlText w:val="%1."/>
      <w:lvlJc w:val="left"/>
      <w:pPr>
        <w:ind w:left="360" w:hanging="36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14">
    <w:nsid w:val="7FFC4AAE"/>
    <w:multiLevelType w:val="singleLevel"/>
    <w:tmpl w:val="7FFC4AAE"/>
    <w:lvl w:ilvl="0" w:tentative="0">
      <w:start w:val="1"/>
      <w:numFmt w:val="bullet"/>
      <w:lvlText w:val=""/>
      <w:lvlJc w:val="left"/>
      <w:pPr>
        <w:tabs>
          <w:tab w:val="left" w:pos="420"/>
        </w:tabs>
        <w:ind w:left="840" w:hanging="420"/>
      </w:pPr>
      <w:rPr>
        <w:rFonts w:hint="default" w:ascii="Wingdings" w:hAnsi="Wingdings"/>
      </w:rPr>
    </w:lvl>
  </w:abstractNum>
  <w:num w:numId="1">
    <w:abstractNumId w:val="3"/>
  </w:num>
  <w:num w:numId="2">
    <w:abstractNumId w:val="6"/>
  </w:num>
  <w:num w:numId="3">
    <w:abstractNumId w:val="7"/>
  </w:num>
  <w:num w:numId="4">
    <w:abstractNumId w:val="4"/>
  </w:num>
  <w:num w:numId="5">
    <w:abstractNumId w:val="2"/>
  </w:num>
  <w:num w:numId="6">
    <w:abstractNumId w:val="5"/>
  </w:num>
  <w:num w:numId="7">
    <w:abstractNumId w:val="13"/>
  </w:num>
  <w:num w:numId="8">
    <w:abstractNumId w:val="10"/>
  </w:num>
  <w:num w:numId="9">
    <w:abstractNumId w:val="8"/>
  </w:num>
  <w:num w:numId="10">
    <w:abstractNumId w:val="1"/>
  </w:num>
  <w:num w:numId="11">
    <w:abstractNumId w:val="11"/>
  </w:num>
  <w:num w:numId="12">
    <w:abstractNumId w:val="0"/>
  </w:num>
  <w:num w:numId="13">
    <w:abstractNumId w:val="12"/>
  </w:num>
  <w:num w:numId="14">
    <w:abstractNumId w:val="14"/>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dit="readOnly" w:enforcement="0"/>
  <w:defaultTabStop w:val="720"/>
  <w:hyphenationZone w:val="425"/>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1517F"/>
    <w:rsid w:val="00034616"/>
    <w:rsid w:val="0006063C"/>
    <w:rsid w:val="000A2F64"/>
    <w:rsid w:val="00113C7C"/>
    <w:rsid w:val="0015074B"/>
    <w:rsid w:val="0021321C"/>
    <w:rsid w:val="002248FE"/>
    <w:rsid w:val="00285F3E"/>
    <w:rsid w:val="0029639D"/>
    <w:rsid w:val="0029700D"/>
    <w:rsid w:val="002F67DC"/>
    <w:rsid w:val="00326F90"/>
    <w:rsid w:val="003A2366"/>
    <w:rsid w:val="003A28ED"/>
    <w:rsid w:val="003B4846"/>
    <w:rsid w:val="003F2225"/>
    <w:rsid w:val="00414346"/>
    <w:rsid w:val="00440DAF"/>
    <w:rsid w:val="00464807"/>
    <w:rsid w:val="00546FE1"/>
    <w:rsid w:val="00591A85"/>
    <w:rsid w:val="0059382C"/>
    <w:rsid w:val="005A1EF4"/>
    <w:rsid w:val="00610148"/>
    <w:rsid w:val="00694ADD"/>
    <w:rsid w:val="00695874"/>
    <w:rsid w:val="006C08B4"/>
    <w:rsid w:val="006F2490"/>
    <w:rsid w:val="00752D0B"/>
    <w:rsid w:val="00776458"/>
    <w:rsid w:val="007D1684"/>
    <w:rsid w:val="0087390C"/>
    <w:rsid w:val="008D43DB"/>
    <w:rsid w:val="00904300"/>
    <w:rsid w:val="009556B8"/>
    <w:rsid w:val="009631D0"/>
    <w:rsid w:val="00975A55"/>
    <w:rsid w:val="00A17D5B"/>
    <w:rsid w:val="00A33F77"/>
    <w:rsid w:val="00A82304"/>
    <w:rsid w:val="00AA1D8D"/>
    <w:rsid w:val="00B31D0F"/>
    <w:rsid w:val="00B47730"/>
    <w:rsid w:val="00B912F9"/>
    <w:rsid w:val="00BC4720"/>
    <w:rsid w:val="00C86815"/>
    <w:rsid w:val="00CB0664"/>
    <w:rsid w:val="00CD1910"/>
    <w:rsid w:val="00CD758D"/>
    <w:rsid w:val="00DE258E"/>
    <w:rsid w:val="00E11EE6"/>
    <w:rsid w:val="00E414C9"/>
    <w:rsid w:val="00EC0892"/>
    <w:rsid w:val="00ED041B"/>
    <w:rsid w:val="00F14F2C"/>
    <w:rsid w:val="00F204CB"/>
    <w:rsid w:val="00F46131"/>
    <w:rsid w:val="00F5518D"/>
    <w:rsid w:val="00F94F17"/>
    <w:rsid w:val="00FC693F"/>
    <w:rsid w:val="00FF6571"/>
    <w:rsid w:val="09727371"/>
    <w:rsid w:val="1FCCE45B"/>
    <w:rsid w:val="20445A53"/>
    <w:rsid w:val="23830392"/>
    <w:rsid w:val="309F11B3"/>
    <w:rsid w:val="3DE364D4"/>
    <w:rsid w:val="58175C92"/>
    <w:rsid w:val="5ECECF18"/>
    <w:rsid w:val="70FF2AEA"/>
    <w:rsid w:val="75737BA5"/>
    <w:rsid w:val="79FF16F5"/>
    <w:rsid w:val="7FD3A903"/>
    <w:rsid w:val="999BD9C7"/>
    <w:rsid w:val="DEDD1AC6"/>
    <w:rsid w:val="FFD8B8D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3">
    <w:name w:val="heading 1"/>
    <w:basedOn w:val="1"/>
    <w:next w:val="1"/>
    <w:link w:val="145"/>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46"/>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7"/>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7"/>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8"/>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9"/>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60"/>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61"/>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62"/>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6">
    <w:name w:val="Default Paragraph Font"/>
    <w:semiHidden/>
    <w:unhideWhenUsed/>
    <w:qFormat/>
    <w:uiPriority w:val="1"/>
  </w:style>
  <w:style w:type="table" w:default="1" w:styleId="36">
    <w:name w:val="Normal Table"/>
    <w:semiHidden/>
    <w:unhideWhenUsed/>
    <w:uiPriority w:val="99"/>
    <w:tblPr>
      <w:tblCellMar>
        <w:top w:w="0" w:type="dxa"/>
        <w:left w:w="108" w:type="dxa"/>
        <w:bottom w:w="0" w:type="dxa"/>
        <w:right w:w="108" w:type="dxa"/>
      </w:tblCellMar>
    </w:tblPr>
  </w:style>
  <w:style w:type="paragraph" w:styleId="2">
    <w:name w:val="macro"/>
    <w:link w:val="154"/>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lang w:val="en-US" w:eastAsia="en-US" w:bidi="ar-SA"/>
    </w:rPr>
  </w:style>
  <w:style w:type="paragraph" w:styleId="12">
    <w:name w:val="List 3"/>
    <w:basedOn w:val="1"/>
    <w:unhideWhenUsed/>
    <w:qFormat/>
    <w:uiPriority w:val="99"/>
    <w:pPr>
      <w:ind w:left="1080" w:hanging="360"/>
      <w:contextualSpacing/>
    </w:pPr>
  </w:style>
  <w:style w:type="paragraph" w:styleId="13">
    <w:name w:val="List Number 2"/>
    <w:basedOn w:val="1"/>
    <w:unhideWhenUsed/>
    <w:qFormat/>
    <w:uiPriority w:val="99"/>
    <w:pPr>
      <w:numPr>
        <w:ilvl w:val="0"/>
        <w:numId w:val="1"/>
      </w:numPr>
      <w:contextualSpacing/>
    </w:pPr>
  </w:style>
  <w:style w:type="paragraph" w:styleId="14">
    <w:name w:val="List Number"/>
    <w:basedOn w:val="1"/>
    <w:unhideWhenUsed/>
    <w:qFormat/>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qFormat/>
    <w:uiPriority w:val="99"/>
    <w:pPr>
      <w:numPr>
        <w:ilvl w:val="0"/>
        <w:numId w:val="3"/>
      </w:numPr>
      <w:contextualSpacing/>
    </w:pPr>
  </w:style>
  <w:style w:type="paragraph" w:styleId="17">
    <w:name w:val="annotation text"/>
    <w:basedOn w:val="1"/>
    <w:link w:val="172"/>
    <w:unhideWhenUsed/>
    <w:qFormat/>
    <w:uiPriority w:val="99"/>
    <w:pPr>
      <w:spacing w:line="240" w:lineRule="auto"/>
    </w:pPr>
    <w:rPr>
      <w:sz w:val="20"/>
      <w:szCs w:val="20"/>
    </w:rPr>
  </w:style>
  <w:style w:type="paragraph" w:styleId="18">
    <w:name w:val="Body Text 3"/>
    <w:basedOn w:val="1"/>
    <w:link w:val="153"/>
    <w:unhideWhenUsed/>
    <w:qFormat/>
    <w:uiPriority w:val="99"/>
    <w:pPr>
      <w:spacing w:after="120"/>
    </w:pPr>
    <w:rPr>
      <w:sz w:val="16"/>
      <w:szCs w:val="16"/>
    </w:rPr>
  </w:style>
  <w:style w:type="paragraph" w:styleId="19">
    <w:name w:val="List Bullet 3"/>
    <w:basedOn w:val="1"/>
    <w:unhideWhenUsed/>
    <w:qFormat/>
    <w:uiPriority w:val="99"/>
    <w:pPr>
      <w:numPr>
        <w:ilvl w:val="0"/>
        <w:numId w:val="4"/>
      </w:numPr>
      <w:contextualSpacing/>
    </w:pPr>
  </w:style>
  <w:style w:type="paragraph" w:styleId="20">
    <w:name w:val="Body Text"/>
    <w:basedOn w:val="1"/>
    <w:link w:val="151"/>
    <w:unhideWhenUsed/>
    <w:qFormat/>
    <w:uiPriority w:val="99"/>
    <w:pPr>
      <w:spacing w:after="120"/>
    </w:pPr>
  </w:style>
  <w:style w:type="paragraph" w:styleId="21">
    <w:name w:val="List Number 3"/>
    <w:basedOn w:val="1"/>
    <w:unhideWhenUsed/>
    <w:qFormat/>
    <w:uiPriority w:val="99"/>
    <w:pPr>
      <w:numPr>
        <w:ilvl w:val="0"/>
        <w:numId w:val="5"/>
      </w:numPr>
      <w:contextualSpacing/>
    </w:pPr>
  </w:style>
  <w:style w:type="paragraph" w:styleId="22">
    <w:name w:val="List 2"/>
    <w:basedOn w:val="1"/>
    <w:unhideWhenUsed/>
    <w:qFormat/>
    <w:uiPriority w:val="99"/>
    <w:pPr>
      <w:ind w:left="720" w:hanging="360"/>
      <w:contextualSpacing/>
    </w:pPr>
  </w:style>
  <w:style w:type="paragraph" w:styleId="23">
    <w:name w:val="List Continue"/>
    <w:basedOn w:val="1"/>
    <w:unhideWhenUsed/>
    <w:qFormat/>
    <w:uiPriority w:val="99"/>
    <w:pPr>
      <w:spacing w:after="120"/>
      <w:ind w:left="360"/>
      <w:contextualSpacing/>
    </w:pPr>
  </w:style>
  <w:style w:type="paragraph" w:styleId="24">
    <w:name w:val="List Bullet 2"/>
    <w:basedOn w:val="1"/>
    <w:unhideWhenUsed/>
    <w:qFormat/>
    <w:uiPriority w:val="99"/>
    <w:pPr>
      <w:numPr>
        <w:ilvl w:val="0"/>
        <w:numId w:val="6"/>
      </w:numPr>
      <w:contextualSpacing/>
    </w:pPr>
  </w:style>
  <w:style w:type="paragraph" w:styleId="25">
    <w:name w:val="footer"/>
    <w:basedOn w:val="1"/>
    <w:link w:val="143"/>
    <w:unhideWhenUsed/>
    <w:qFormat/>
    <w:uiPriority w:val="99"/>
    <w:pPr>
      <w:tabs>
        <w:tab w:val="center" w:pos="4680"/>
        <w:tab w:val="right" w:pos="9360"/>
      </w:tabs>
      <w:spacing w:after="0" w:line="240" w:lineRule="auto"/>
    </w:pPr>
  </w:style>
  <w:style w:type="paragraph" w:styleId="26">
    <w:name w:val="header"/>
    <w:basedOn w:val="1"/>
    <w:link w:val="142"/>
    <w:unhideWhenUsed/>
    <w:qFormat/>
    <w:uiPriority w:val="99"/>
    <w:pPr>
      <w:tabs>
        <w:tab w:val="center" w:pos="4680"/>
        <w:tab w:val="right" w:pos="9360"/>
      </w:tabs>
      <w:spacing w:after="0" w:line="240" w:lineRule="auto"/>
    </w:pPr>
  </w:style>
  <w:style w:type="paragraph" w:styleId="27">
    <w:name w:val="Subtitle"/>
    <w:basedOn w:val="1"/>
    <w:next w:val="1"/>
    <w:link w:val="149"/>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8">
    <w:name w:val="List"/>
    <w:basedOn w:val="1"/>
    <w:unhideWhenUsed/>
    <w:qFormat/>
    <w:uiPriority w:val="99"/>
    <w:pPr>
      <w:ind w:left="360" w:hanging="360"/>
      <w:contextualSpacing/>
    </w:pPr>
  </w:style>
  <w:style w:type="paragraph" w:styleId="29">
    <w:name w:val="Body Text 2"/>
    <w:basedOn w:val="1"/>
    <w:link w:val="152"/>
    <w:unhideWhenUsed/>
    <w:qFormat/>
    <w:uiPriority w:val="99"/>
    <w:pPr>
      <w:spacing w:after="120" w:line="480" w:lineRule="auto"/>
    </w:pPr>
  </w:style>
  <w:style w:type="paragraph" w:styleId="30">
    <w:name w:val="List Continue 2"/>
    <w:basedOn w:val="1"/>
    <w:unhideWhenUsed/>
    <w:qFormat/>
    <w:uiPriority w:val="99"/>
    <w:pPr>
      <w:spacing w:after="120"/>
      <w:ind w:left="720"/>
      <w:contextualSpacing/>
    </w:pPr>
  </w:style>
  <w:style w:type="paragraph" w:styleId="31">
    <w:name w:val="HTML Preformatted"/>
    <w:basedOn w:val="1"/>
    <w:link w:val="176"/>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val="de-DE" w:eastAsia="zh-CN"/>
    </w:rPr>
  </w:style>
  <w:style w:type="paragraph" w:styleId="32">
    <w:name w:val="Normal (Web)"/>
    <w:basedOn w:val="1"/>
    <w:unhideWhenUsed/>
    <w:qFormat/>
    <w:uiPriority w:val="99"/>
    <w:pPr>
      <w:spacing w:before="100" w:beforeAutospacing="1" w:after="100" w:afterAutospacing="1" w:line="240" w:lineRule="auto"/>
    </w:pPr>
    <w:rPr>
      <w:rFonts w:ascii="Times New Roman" w:hAnsi="Times New Roman" w:eastAsia="Times New Roman" w:cs="Times New Roman"/>
      <w:sz w:val="24"/>
      <w:szCs w:val="24"/>
      <w:lang w:val="de-DE" w:eastAsia="zh-CN"/>
    </w:rPr>
  </w:style>
  <w:style w:type="paragraph" w:styleId="33">
    <w:name w:val="List Continue 3"/>
    <w:basedOn w:val="1"/>
    <w:unhideWhenUsed/>
    <w:qFormat/>
    <w:uiPriority w:val="99"/>
    <w:pPr>
      <w:spacing w:after="120"/>
      <w:ind w:left="1080"/>
      <w:contextualSpacing/>
    </w:pPr>
  </w:style>
  <w:style w:type="paragraph" w:styleId="34">
    <w:name w:val="Title"/>
    <w:basedOn w:val="1"/>
    <w:next w:val="1"/>
    <w:link w:val="148"/>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paragraph" w:styleId="35">
    <w:name w:val="annotation subject"/>
    <w:basedOn w:val="17"/>
    <w:next w:val="17"/>
    <w:link w:val="173"/>
    <w:semiHidden/>
    <w:unhideWhenUsed/>
    <w:qFormat/>
    <w:uiPriority w:val="99"/>
    <w:rPr>
      <w:b/>
      <w:bCs/>
    </w:rPr>
  </w:style>
  <w:style w:type="table" w:styleId="37">
    <w:name w:val="Table Grid"/>
    <w:basedOn w:val="3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8">
    <w:name w:val="Light Shading"/>
    <w:basedOn w:val="36"/>
    <w:qFormat/>
    <w:uiPriority w:val="60"/>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9">
    <w:name w:val="Light Shading Accent 1"/>
    <w:basedOn w:val="36"/>
    <w:qFormat/>
    <w:uiPriority w:val="60"/>
    <w:rPr>
      <w:color w:val="376092" w:themeColor="accent1" w:themeShade="BF"/>
    </w:rPr>
    <w:tblPr>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40">
    <w:name w:val="Light Shading Accent 2"/>
    <w:basedOn w:val="36"/>
    <w:qFormat/>
    <w:uiPriority w:val="60"/>
    <w:rPr>
      <w:color w:val="953735" w:themeColor="accent2" w:themeShade="BF"/>
    </w:rPr>
    <w:tblPr>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1">
    <w:name w:val="Light Shading Accent 3"/>
    <w:basedOn w:val="36"/>
    <w:qFormat/>
    <w:uiPriority w:val="60"/>
    <w:rPr>
      <w:color w:val="77933C" w:themeColor="accent3" w:themeShade="BF"/>
    </w:rPr>
    <w:tblPr>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2">
    <w:name w:val="Light Shading Accent 4"/>
    <w:basedOn w:val="36"/>
    <w:qFormat/>
    <w:uiPriority w:val="60"/>
    <w:rPr>
      <w:color w:val="604A7B" w:themeColor="accent4" w:themeShade="BF"/>
    </w:rPr>
    <w:tblPr>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3">
    <w:name w:val="Light Shading Accent 5"/>
    <w:basedOn w:val="36"/>
    <w:qFormat/>
    <w:uiPriority w:val="60"/>
    <w:rPr>
      <w:color w:val="31859C" w:themeColor="accent5" w:themeShade="BF"/>
    </w:rPr>
    <w:tblPr>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4">
    <w:name w:val="Light Shading Accent 6"/>
    <w:basedOn w:val="36"/>
    <w:qFormat/>
    <w:uiPriority w:val="60"/>
    <w:rPr>
      <w:color w:val="E46C0A" w:themeColor="accent6" w:themeShade="BF"/>
    </w:rPr>
    <w:tblPr>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5">
    <w:name w:val="Light List"/>
    <w:basedOn w:val="36"/>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6">
    <w:name w:val="Light List Accent 1"/>
    <w:basedOn w:val="36"/>
    <w:qFormat/>
    <w:uiPriority w:val="61"/>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7">
    <w:name w:val="Light List Accent 2"/>
    <w:basedOn w:val="36"/>
    <w:qFormat/>
    <w:uiPriority w:val="61"/>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8">
    <w:name w:val="Light List Accent 3"/>
    <w:basedOn w:val="36"/>
    <w:qFormat/>
    <w:uiPriority w:val="61"/>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9">
    <w:name w:val="Light List Accent 4"/>
    <w:basedOn w:val="36"/>
    <w:qFormat/>
    <w:uiPriority w:val="61"/>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50">
    <w:name w:val="Light List Accent 5"/>
    <w:basedOn w:val="36"/>
    <w:qFormat/>
    <w:uiPriority w:val="61"/>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1">
    <w:name w:val="Light List Accent 6"/>
    <w:basedOn w:val="36"/>
    <w:qFormat/>
    <w:uiPriority w:val="61"/>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2">
    <w:name w:val="Light Grid"/>
    <w:basedOn w:val="36"/>
    <w:qFormat/>
    <w:uiPriority w:val="62"/>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3">
    <w:name w:val="Light Grid Accent 1"/>
    <w:basedOn w:val="36"/>
    <w:qFormat/>
    <w:uiPriority w:val="62"/>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4">
    <w:name w:val="Light Grid Accent 2"/>
    <w:basedOn w:val="36"/>
    <w:qFormat/>
    <w:uiPriority w:val="62"/>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5">
    <w:name w:val="Light Grid Accent 3"/>
    <w:basedOn w:val="36"/>
    <w:qFormat/>
    <w:uiPriority w:val="62"/>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6">
    <w:name w:val="Light Grid Accent 4"/>
    <w:basedOn w:val="36"/>
    <w:qFormat/>
    <w:uiPriority w:val="62"/>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7">
    <w:name w:val="Light Grid Accent 5"/>
    <w:basedOn w:val="36"/>
    <w:qFormat/>
    <w:uiPriority w:val="62"/>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8">
    <w:name w:val="Light Grid Accent 6"/>
    <w:basedOn w:val="36"/>
    <w:qFormat/>
    <w:uiPriority w:val="62"/>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9">
    <w:name w:val="Medium Shading 1"/>
    <w:basedOn w:val="36"/>
    <w:qFormat/>
    <w:uiPriority w:val="63"/>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60">
    <w:name w:val="Medium Shading 1 Accent 1"/>
    <w:basedOn w:val="36"/>
    <w:qFormat/>
    <w:uiPriority w:val="63"/>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1">
    <w:name w:val="Medium Shading 1 Accent 2"/>
    <w:basedOn w:val="36"/>
    <w:qFormat/>
    <w:uiPriority w:val="63"/>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2">
    <w:name w:val="Medium Shading 1 Accent 3"/>
    <w:basedOn w:val="36"/>
    <w:qFormat/>
    <w:uiPriority w:val="63"/>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3">
    <w:name w:val="Medium Shading 1 Accent 4"/>
    <w:basedOn w:val="36"/>
    <w:qFormat/>
    <w:uiPriority w:val="63"/>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4">
    <w:name w:val="Medium Shading 1 Accent 5"/>
    <w:basedOn w:val="36"/>
    <w:qFormat/>
    <w:uiPriority w:val="63"/>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5">
    <w:name w:val="Medium Shading 1 Accent 6"/>
    <w:basedOn w:val="36"/>
    <w:qFormat/>
    <w:uiPriority w:val="63"/>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6">
    <w:name w:val="Medium Shading 2"/>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1"/>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2"/>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3"/>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4"/>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5"/>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Shading 2 Accent 6"/>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3">
    <w:name w:val="Medium List 1"/>
    <w:basedOn w:val="36"/>
    <w:qFormat/>
    <w:uiPriority w:val="65"/>
    <w:rPr>
      <w:color w:val="000000" w:themeColor="text1"/>
      <w14:textFill>
        <w14:solidFill>
          <w14:schemeClr w14:val="tx1"/>
        </w14:solidFill>
      </w14:textFill>
    </w:rPr>
    <w:tblPr>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4">
    <w:name w:val="Medium List 1 Accent 1"/>
    <w:basedOn w:val="36"/>
    <w:qFormat/>
    <w:uiPriority w:val="65"/>
    <w:rPr>
      <w:color w:val="000000" w:themeColor="text1"/>
      <w14:textFill>
        <w14:solidFill>
          <w14:schemeClr w14:val="tx1"/>
        </w14:solidFill>
      </w14:textFill>
    </w:rPr>
    <w:tblPr>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5">
    <w:name w:val="Medium List 1 Accent 2"/>
    <w:basedOn w:val="36"/>
    <w:qFormat/>
    <w:uiPriority w:val="65"/>
    <w:rPr>
      <w:color w:val="000000" w:themeColor="text1"/>
      <w14:textFill>
        <w14:solidFill>
          <w14:schemeClr w14:val="tx1"/>
        </w14:solidFill>
      </w14:textFill>
    </w:rPr>
    <w:tblPr>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6">
    <w:name w:val="Medium List 1 Accent 3"/>
    <w:basedOn w:val="36"/>
    <w:qFormat/>
    <w:uiPriority w:val="65"/>
    <w:rPr>
      <w:color w:val="000000" w:themeColor="text1"/>
      <w14:textFill>
        <w14:solidFill>
          <w14:schemeClr w14:val="tx1"/>
        </w14:solidFill>
      </w14:textFill>
    </w:rPr>
    <w:tblPr>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7">
    <w:name w:val="Medium List 1 Accent 4"/>
    <w:basedOn w:val="36"/>
    <w:qFormat/>
    <w:uiPriority w:val="65"/>
    <w:rPr>
      <w:color w:val="000000" w:themeColor="text1"/>
      <w14:textFill>
        <w14:solidFill>
          <w14:schemeClr w14:val="tx1"/>
        </w14:solidFill>
      </w14:textFill>
    </w:rPr>
    <w:tblPr>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8">
    <w:name w:val="Medium List 1 Accent 5"/>
    <w:basedOn w:val="36"/>
    <w:qFormat/>
    <w:uiPriority w:val="65"/>
    <w:rPr>
      <w:color w:val="000000" w:themeColor="text1"/>
      <w14:textFill>
        <w14:solidFill>
          <w14:schemeClr w14:val="tx1"/>
        </w14:solidFill>
      </w14:textFill>
    </w:rPr>
    <w:tblPr>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9">
    <w:name w:val="Medium List 1 Accent 6"/>
    <w:basedOn w:val="36"/>
    <w:qFormat/>
    <w:uiPriority w:val="65"/>
    <w:rPr>
      <w:color w:val="000000" w:themeColor="text1"/>
      <w14:textFill>
        <w14:solidFill>
          <w14:schemeClr w14:val="tx1"/>
        </w14:solidFill>
      </w14:textFill>
    </w:rPr>
    <w:tblPr>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80">
    <w:name w:val="Medium List 2"/>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1"/>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2"/>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3"/>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4"/>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5"/>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List 2 Accent 6"/>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7">
    <w:name w:val="Medium Grid 1"/>
    <w:basedOn w:val="36"/>
    <w:qFormat/>
    <w:uiPriority w:val="67"/>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8">
    <w:name w:val="Medium Grid 1 Accent 1"/>
    <w:basedOn w:val="36"/>
    <w:qFormat/>
    <w:uiPriority w:val="67"/>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9">
    <w:name w:val="Medium Grid 1 Accent 2"/>
    <w:basedOn w:val="36"/>
    <w:qFormat/>
    <w:uiPriority w:val="67"/>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90">
    <w:name w:val="Medium Grid 1 Accent 3"/>
    <w:basedOn w:val="36"/>
    <w:qFormat/>
    <w:uiPriority w:val="67"/>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1">
    <w:name w:val="Medium Grid 1 Accent 4"/>
    <w:basedOn w:val="36"/>
    <w:qFormat/>
    <w:uiPriority w:val="67"/>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2">
    <w:name w:val="Medium Grid 1 Accent 5"/>
    <w:basedOn w:val="36"/>
    <w:qFormat/>
    <w:uiPriority w:val="67"/>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3">
    <w:name w:val="Medium Grid 1 Accent 6"/>
    <w:basedOn w:val="36"/>
    <w:qFormat/>
    <w:uiPriority w:val="67"/>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4">
    <w:name w:val="Medium Grid 2"/>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5">
    <w:name w:val="Medium Grid 2 Accent 1"/>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6">
    <w:name w:val="Medium Grid 2 Accent 2"/>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7">
    <w:name w:val="Medium Grid 2 Accent 3"/>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8">
    <w:name w:val="Medium Grid 2 Accent 4"/>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9">
    <w:name w:val="Medium Grid 2 Accent 5"/>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00">
    <w:name w:val="Medium Grid 2 Accent 6"/>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1">
    <w:name w:val="Medium Grid 3"/>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2">
    <w:name w:val="Medium Grid 3 Accent 1"/>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3">
    <w:name w:val="Medium Grid 3 Accent 2"/>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4">
    <w:name w:val="Medium Grid 3 Accent 3"/>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5">
    <w:name w:val="Medium Grid 3 Accent 4"/>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6">
    <w:name w:val="Medium Grid 3 Accent 5"/>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7">
    <w:name w:val="Medium Grid 3 Accent 6"/>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8">
    <w:name w:val="Dark List"/>
    <w:basedOn w:val="36"/>
    <w:qFormat/>
    <w:uiPriority w:val="70"/>
    <w:rPr>
      <w:color w:val="FFFFFF" w:themeColor="background1"/>
      <w14:textFill>
        <w14:solidFill>
          <w14:schemeClr w14:val="bg1"/>
        </w14:solidFill>
      </w14:textFill>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9">
    <w:name w:val="Dark List Accent 1"/>
    <w:basedOn w:val="36"/>
    <w:qFormat/>
    <w:uiPriority w:val="70"/>
    <w:rPr>
      <w:color w:val="FFFFFF" w:themeColor="background1"/>
      <w14:textFill>
        <w14:solidFill>
          <w14:schemeClr w14:val="bg1"/>
        </w14:solidFill>
      </w14:textFill>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10">
    <w:name w:val="Dark List Accent 2"/>
    <w:basedOn w:val="36"/>
    <w:qFormat/>
    <w:uiPriority w:val="70"/>
    <w:rPr>
      <w:color w:val="FFFFFF" w:themeColor="background1"/>
      <w14:textFill>
        <w14:solidFill>
          <w14:schemeClr w14:val="bg1"/>
        </w14:solidFill>
      </w14:textFill>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1">
    <w:name w:val="Dark List Accent 3"/>
    <w:basedOn w:val="36"/>
    <w:qFormat/>
    <w:uiPriority w:val="70"/>
    <w:rPr>
      <w:color w:val="FFFFFF" w:themeColor="background1"/>
      <w14:textFill>
        <w14:solidFill>
          <w14:schemeClr w14:val="bg1"/>
        </w14:solidFill>
      </w14:textFill>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2">
    <w:name w:val="Dark List Accent 4"/>
    <w:basedOn w:val="36"/>
    <w:qFormat/>
    <w:uiPriority w:val="70"/>
    <w:rPr>
      <w:color w:val="FFFFFF" w:themeColor="background1"/>
      <w14:textFill>
        <w14:solidFill>
          <w14:schemeClr w14:val="bg1"/>
        </w14:solidFill>
      </w14:textFill>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3">
    <w:name w:val="Dark List Accent 5"/>
    <w:basedOn w:val="36"/>
    <w:qFormat/>
    <w:uiPriority w:val="70"/>
    <w:rPr>
      <w:color w:val="FFFFFF" w:themeColor="background1"/>
      <w14:textFill>
        <w14:solidFill>
          <w14:schemeClr w14:val="bg1"/>
        </w14:solidFill>
      </w14:textFill>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4">
    <w:name w:val="Dark List Accent 6"/>
    <w:basedOn w:val="36"/>
    <w:qFormat/>
    <w:uiPriority w:val="70"/>
    <w:rPr>
      <w:color w:val="FFFFFF" w:themeColor="background1"/>
      <w14:textFill>
        <w14:solidFill>
          <w14:schemeClr w14:val="bg1"/>
        </w14:solidFill>
      </w14:textFill>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5">
    <w:name w:val="Colorful Shading"/>
    <w:basedOn w:val="36"/>
    <w:qFormat/>
    <w:uiPriority w:val="71"/>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1"/>
    <w:basedOn w:val="36"/>
    <w:qFormat/>
    <w:uiPriority w:val="71"/>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2"/>
    <w:basedOn w:val="36"/>
    <w:qFormat/>
    <w:uiPriority w:val="71"/>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3"/>
    <w:basedOn w:val="36"/>
    <w:qFormat/>
    <w:uiPriority w:val="71"/>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9">
    <w:name w:val="Colorful Shading Accent 4"/>
    <w:basedOn w:val="36"/>
    <w:qFormat/>
    <w:uiPriority w:val="71"/>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5"/>
    <w:basedOn w:val="36"/>
    <w:qFormat/>
    <w:uiPriority w:val="71"/>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1">
    <w:name w:val="Colorful Shading Accent 6"/>
    <w:basedOn w:val="36"/>
    <w:qFormat/>
    <w:uiPriority w:val="71"/>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2">
    <w:name w:val="Colorful List"/>
    <w:basedOn w:val="36"/>
    <w:qFormat/>
    <w:uiPriority w:val="72"/>
    <w:rPr>
      <w:color w:val="000000" w:themeColor="text1"/>
      <w14:textFill>
        <w14:solidFill>
          <w14:schemeClr w14:val="tx1"/>
        </w14:solidFill>
      </w14:textFill>
    </w:rPr>
    <w:tblPr>
      <w:tblStyleRowBandSize w:val="1"/>
      <w:tblStyleColBandSize w:val="1"/>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3">
    <w:name w:val="Colorful List Accent 1"/>
    <w:basedOn w:val="36"/>
    <w:qFormat/>
    <w:uiPriority w:val="72"/>
    <w:rPr>
      <w:color w:val="000000" w:themeColor="text1"/>
      <w14:textFill>
        <w14:solidFill>
          <w14:schemeClr w14:val="tx1"/>
        </w14:solidFill>
      </w14:textFill>
    </w:rPr>
    <w:tblPr>
      <w:tblStyleRowBandSize w:val="1"/>
      <w:tblStyleColBandSize w:val="1"/>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4">
    <w:name w:val="Colorful List Accent 2"/>
    <w:basedOn w:val="36"/>
    <w:qFormat/>
    <w:uiPriority w:val="72"/>
    <w:rPr>
      <w:color w:val="000000" w:themeColor="text1"/>
      <w14:textFill>
        <w14:solidFill>
          <w14:schemeClr w14:val="tx1"/>
        </w14:solidFill>
      </w14:textFill>
    </w:rPr>
    <w:tblPr>
      <w:tblStyleRowBandSize w:val="1"/>
      <w:tblStyleColBandSize w:val="1"/>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5">
    <w:name w:val="Colorful List Accent 3"/>
    <w:basedOn w:val="36"/>
    <w:qFormat/>
    <w:uiPriority w:val="72"/>
    <w:rPr>
      <w:color w:val="000000" w:themeColor="text1"/>
      <w14:textFill>
        <w14:solidFill>
          <w14:schemeClr w14:val="tx1"/>
        </w14:solidFill>
      </w14:textFill>
    </w:rPr>
    <w:tblPr>
      <w:tblStyleRowBandSize w:val="1"/>
      <w:tblStyleColBandSize w:val="1"/>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6">
    <w:name w:val="Colorful List Accent 4"/>
    <w:basedOn w:val="36"/>
    <w:qFormat/>
    <w:uiPriority w:val="72"/>
    <w:rPr>
      <w:color w:val="000000" w:themeColor="text1"/>
      <w14:textFill>
        <w14:solidFill>
          <w14:schemeClr w14:val="tx1"/>
        </w14:solidFill>
      </w14:textFill>
    </w:rPr>
    <w:tblPr>
      <w:tblStyleRowBandSize w:val="1"/>
      <w:tblStyleColBandSize w:val="1"/>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7">
    <w:name w:val="Colorful List Accent 5"/>
    <w:basedOn w:val="36"/>
    <w:qFormat/>
    <w:uiPriority w:val="72"/>
    <w:rPr>
      <w:color w:val="000000" w:themeColor="text1"/>
      <w14:textFill>
        <w14:solidFill>
          <w14:schemeClr w14:val="tx1"/>
        </w14:solidFill>
      </w14:textFill>
    </w:rPr>
    <w:tblPr>
      <w:tblStyleRowBandSize w:val="1"/>
      <w:tblStyleColBandSize w:val="1"/>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8">
    <w:name w:val="Colorful List Accent 6"/>
    <w:basedOn w:val="36"/>
    <w:qFormat/>
    <w:uiPriority w:val="72"/>
    <w:rPr>
      <w:color w:val="000000" w:themeColor="text1"/>
      <w14:textFill>
        <w14:solidFill>
          <w14:schemeClr w14:val="tx1"/>
        </w14:solidFill>
      </w14:textFill>
    </w:rPr>
    <w:tblPr>
      <w:tblStyleRowBandSize w:val="1"/>
      <w:tblStyleColBandSize w:val="1"/>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9">
    <w:name w:val="Colorful Grid"/>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30">
    <w:name w:val="Colorful Grid Accent 1"/>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1">
    <w:name w:val="Colorful Grid Accent 2"/>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2">
    <w:name w:val="Colorful Grid Accent 3"/>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3">
    <w:name w:val="Colorful Grid Accent 4"/>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4">
    <w:name w:val="Colorful Grid Accent 5"/>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5">
    <w:name w:val="Colorful Grid Accent 6"/>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7">
    <w:name w:val="Strong"/>
    <w:basedOn w:val="136"/>
    <w:qFormat/>
    <w:uiPriority w:val="22"/>
    <w:rPr>
      <w:b/>
      <w:bCs/>
    </w:rPr>
  </w:style>
  <w:style w:type="character" w:styleId="138">
    <w:name w:val="FollowedHyperlink"/>
    <w:basedOn w:val="136"/>
    <w:semiHidden/>
    <w:unhideWhenUsed/>
    <w:qFormat/>
    <w:uiPriority w:val="99"/>
    <w:rPr>
      <w:color w:val="800080" w:themeColor="followedHyperlink"/>
      <w:u w:val="single"/>
      <w14:textFill>
        <w14:solidFill>
          <w14:schemeClr w14:val="folHlink"/>
        </w14:solidFill>
      </w14:textFill>
    </w:rPr>
  </w:style>
  <w:style w:type="character" w:styleId="139">
    <w:name w:val="Emphasis"/>
    <w:basedOn w:val="136"/>
    <w:qFormat/>
    <w:uiPriority w:val="20"/>
    <w:rPr>
      <w:i/>
      <w:iCs/>
    </w:rPr>
  </w:style>
  <w:style w:type="character" w:styleId="140">
    <w:name w:val="Hyperlink"/>
    <w:basedOn w:val="136"/>
    <w:unhideWhenUsed/>
    <w:qFormat/>
    <w:uiPriority w:val="99"/>
    <w:rPr>
      <w:color w:val="0000FF" w:themeColor="hyperlink"/>
      <w:u w:val="single"/>
      <w14:textFill>
        <w14:solidFill>
          <w14:schemeClr w14:val="hlink"/>
        </w14:solidFill>
      </w14:textFill>
    </w:rPr>
  </w:style>
  <w:style w:type="character" w:styleId="141">
    <w:name w:val="annotation reference"/>
    <w:basedOn w:val="136"/>
    <w:semiHidden/>
    <w:unhideWhenUsed/>
    <w:qFormat/>
    <w:uiPriority w:val="99"/>
    <w:rPr>
      <w:sz w:val="16"/>
      <w:szCs w:val="16"/>
    </w:rPr>
  </w:style>
  <w:style w:type="character" w:customStyle="1" w:styleId="142">
    <w:name w:val="页眉 字符"/>
    <w:basedOn w:val="136"/>
    <w:link w:val="26"/>
    <w:qFormat/>
    <w:uiPriority w:val="99"/>
  </w:style>
  <w:style w:type="character" w:customStyle="1" w:styleId="143">
    <w:name w:val="页脚 字符"/>
    <w:basedOn w:val="136"/>
    <w:link w:val="25"/>
    <w:qFormat/>
    <w:uiPriority w:val="99"/>
  </w:style>
  <w:style w:type="paragraph" w:styleId="144">
    <w:name w:val="No Spacing"/>
    <w:qFormat/>
    <w:uiPriority w:val="1"/>
    <w:rPr>
      <w:rFonts w:asciiTheme="minorHAnsi" w:hAnsiTheme="minorHAnsi" w:eastAsiaTheme="minorEastAsia" w:cstheme="minorBidi"/>
      <w:sz w:val="22"/>
      <w:szCs w:val="22"/>
      <w:lang w:val="en-US" w:eastAsia="en-US" w:bidi="ar-SA"/>
    </w:rPr>
  </w:style>
  <w:style w:type="character" w:customStyle="1" w:styleId="145">
    <w:name w:val="标题 1 字符"/>
    <w:basedOn w:val="136"/>
    <w:link w:val="3"/>
    <w:qFormat/>
    <w:uiPriority w:val="9"/>
    <w:rPr>
      <w:rFonts w:asciiTheme="majorHAnsi" w:hAnsiTheme="majorHAnsi" w:eastAsiaTheme="majorEastAsia" w:cstheme="majorBidi"/>
      <w:b/>
      <w:bCs/>
      <w:color w:val="376092" w:themeColor="accent1" w:themeShade="BF"/>
      <w:sz w:val="28"/>
      <w:szCs w:val="28"/>
    </w:rPr>
  </w:style>
  <w:style w:type="character" w:customStyle="1" w:styleId="146">
    <w:name w:val="标题 2 字符"/>
    <w:basedOn w:val="136"/>
    <w:link w:val="4"/>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7">
    <w:name w:val="标题 3 字符"/>
    <w:basedOn w:val="136"/>
    <w:link w:val="5"/>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8">
    <w:name w:val="标题 字符"/>
    <w:basedOn w:val="136"/>
    <w:link w:val="34"/>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9">
    <w:name w:val="副标题 字符"/>
    <w:basedOn w:val="136"/>
    <w:link w:val="27"/>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50">
    <w:name w:val="List Paragraph"/>
    <w:basedOn w:val="1"/>
    <w:qFormat/>
    <w:uiPriority w:val="34"/>
    <w:pPr>
      <w:ind w:left="720"/>
      <w:contextualSpacing/>
    </w:pPr>
  </w:style>
  <w:style w:type="character" w:customStyle="1" w:styleId="151">
    <w:name w:val="正文文本 字符"/>
    <w:basedOn w:val="136"/>
    <w:link w:val="20"/>
    <w:qFormat/>
    <w:uiPriority w:val="99"/>
  </w:style>
  <w:style w:type="character" w:customStyle="1" w:styleId="152">
    <w:name w:val="正文文本 2 字符"/>
    <w:basedOn w:val="136"/>
    <w:link w:val="29"/>
    <w:qFormat/>
    <w:uiPriority w:val="99"/>
  </w:style>
  <w:style w:type="character" w:customStyle="1" w:styleId="153">
    <w:name w:val="正文文本 3 字符"/>
    <w:basedOn w:val="136"/>
    <w:link w:val="18"/>
    <w:qFormat/>
    <w:uiPriority w:val="99"/>
    <w:rPr>
      <w:sz w:val="16"/>
      <w:szCs w:val="16"/>
    </w:rPr>
  </w:style>
  <w:style w:type="character" w:customStyle="1" w:styleId="154">
    <w:name w:val="宏文本 字符"/>
    <w:basedOn w:val="136"/>
    <w:link w:val="2"/>
    <w:qFormat/>
    <w:uiPriority w:val="99"/>
    <w:rPr>
      <w:rFonts w:ascii="Courier" w:hAnsi="Courier"/>
      <w:sz w:val="20"/>
      <w:szCs w:val="20"/>
    </w:rPr>
  </w:style>
  <w:style w:type="paragraph" w:styleId="155">
    <w:name w:val="Quote"/>
    <w:basedOn w:val="1"/>
    <w:next w:val="1"/>
    <w:link w:val="156"/>
    <w:qFormat/>
    <w:uiPriority w:val="29"/>
    <w:rPr>
      <w:i/>
      <w:iCs/>
      <w:color w:val="000000" w:themeColor="text1"/>
      <w14:textFill>
        <w14:solidFill>
          <w14:schemeClr w14:val="tx1"/>
        </w14:solidFill>
      </w14:textFill>
    </w:rPr>
  </w:style>
  <w:style w:type="character" w:customStyle="1" w:styleId="156">
    <w:name w:val="引用 字符"/>
    <w:basedOn w:val="136"/>
    <w:link w:val="155"/>
    <w:qFormat/>
    <w:uiPriority w:val="29"/>
    <w:rPr>
      <w:i/>
      <w:iCs/>
      <w:color w:val="000000" w:themeColor="text1"/>
      <w14:textFill>
        <w14:solidFill>
          <w14:schemeClr w14:val="tx1"/>
        </w14:solidFill>
      </w14:textFill>
    </w:rPr>
  </w:style>
  <w:style w:type="character" w:customStyle="1" w:styleId="157">
    <w:name w:val="标题 4 字符"/>
    <w:basedOn w:val="136"/>
    <w:link w:val="6"/>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8">
    <w:name w:val="标题 5 字符"/>
    <w:basedOn w:val="136"/>
    <w:link w:val="7"/>
    <w:semiHidden/>
    <w:qFormat/>
    <w:uiPriority w:val="9"/>
    <w:rPr>
      <w:rFonts w:asciiTheme="majorHAnsi" w:hAnsiTheme="majorHAnsi" w:eastAsiaTheme="majorEastAsia" w:cstheme="majorBidi"/>
      <w:color w:val="254061" w:themeColor="accent1" w:themeShade="80"/>
    </w:rPr>
  </w:style>
  <w:style w:type="character" w:customStyle="1" w:styleId="159">
    <w:name w:val="标题 6 字符"/>
    <w:basedOn w:val="136"/>
    <w:link w:val="8"/>
    <w:semiHidden/>
    <w:qFormat/>
    <w:uiPriority w:val="9"/>
    <w:rPr>
      <w:rFonts w:asciiTheme="majorHAnsi" w:hAnsiTheme="majorHAnsi" w:eastAsiaTheme="majorEastAsia" w:cstheme="majorBidi"/>
      <w:i/>
      <w:iCs/>
      <w:color w:val="254061" w:themeColor="accent1" w:themeShade="80"/>
    </w:rPr>
  </w:style>
  <w:style w:type="character" w:customStyle="1" w:styleId="160">
    <w:name w:val="标题 7 字符"/>
    <w:basedOn w:val="136"/>
    <w:link w:val="9"/>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61">
    <w:name w:val="标题 8 字符"/>
    <w:basedOn w:val="136"/>
    <w:link w:val="10"/>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62">
    <w:name w:val="标题 9 字符"/>
    <w:basedOn w:val="136"/>
    <w:link w:val="11"/>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63">
    <w:name w:val="Intense Quote"/>
    <w:basedOn w:val="1"/>
    <w:next w:val="1"/>
    <w:link w:val="164"/>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64">
    <w:name w:val="明显引用 字符"/>
    <w:basedOn w:val="136"/>
    <w:link w:val="163"/>
    <w:qFormat/>
    <w:uiPriority w:val="30"/>
    <w:rPr>
      <w:b/>
      <w:bCs/>
      <w:i/>
      <w:iCs/>
      <w:color w:val="4F81BD" w:themeColor="accent1"/>
      <w14:textFill>
        <w14:solidFill>
          <w14:schemeClr w14:val="accent1"/>
        </w14:solidFill>
      </w14:textFill>
    </w:rPr>
  </w:style>
  <w:style w:type="character" w:customStyle="1" w:styleId="165">
    <w:name w:val="不明显强调1"/>
    <w:basedOn w:val="136"/>
    <w:qFormat/>
    <w:uiPriority w:val="19"/>
    <w:rPr>
      <w:i/>
      <w:iCs/>
      <w:color w:val="808080" w:themeColor="text1" w:themeTint="80"/>
      <w14:textFill>
        <w14:solidFill>
          <w14:schemeClr w14:val="tx1">
            <w14:lumMod w14:val="50000"/>
            <w14:lumOff w14:val="50000"/>
          </w14:schemeClr>
        </w14:solidFill>
      </w14:textFill>
    </w:rPr>
  </w:style>
  <w:style w:type="character" w:customStyle="1" w:styleId="166">
    <w:name w:val="明显强调1"/>
    <w:basedOn w:val="136"/>
    <w:qFormat/>
    <w:uiPriority w:val="21"/>
    <w:rPr>
      <w:b/>
      <w:bCs/>
      <w:i/>
      <w:iCs/>
      <w:color w:val="4F81BD" w:themeColor="accent1"/>
      <w14:textFill>
        <w14:solidFill>
          <w14:schemeClr w14:val="accent1"/>
        </w14:solidFill>
      </w14:textFill>
    </w:rPr>
  </w:style>
  <w:style w:type="character" w:customStyle="1" w:styleId="167">
    <w:name w:val="不明显参考1"/>
    <w:basedOn w:val="136"/>
    <w:qFormat/>
    <w:uiPriority w:val="31"/>
    <w:rPr>
      <w:smallCaps/>
      <w:color w:val="C0504D" w:themeColor="accent2"/>
      <w:u w:val="single"/>
      <w14:textFill>
        <w14:solidFill>
          <w14:schemeClr w14:val="accent2"/>
        </w14:solidFill>
      </w14:textFill>
    </w:rPr>
  </w:style>
  <w:style w:type="character" w:customStyle="1" w:styleId="168">
    <w:name w:val="明显参考1"/>
    <w:basedOn w:val="136"/>
    <w:qFormat/>
    <w:uiPriority w:val="32"/>
    <w:rPr>
      <w:b/>
      <w:bCs/>
      <w:smallCaps/>
      <w:color w:val="C0504D" w:themeColor="accent2"/>
      <w:spacing w:val="5"/>
      <w:u w:val="single"/>
      <w14:textFill>
        <w14:solidFill>
          <w14:schemeClr w14:val="accent2"/>
        </w14:solidFill>
      </w14:textFill>
    </w:rPr>
  </w:style>
  <w:style w:type="character" w:customStyle="1" w:styleId="169">
    <w:name w:val="书籍标题1"/>
    <w:basedOn w:val="136"/>
    <w:qFormat/>
    <w:uiPriority w:val="33"/>
    <w:rPr>
      <w:b/>
      <w:bCs/>
      <w:smallCaps/>
      <w:spacing w:val="5"/>
    </w:rPr>
  </w:style>
  <w:style w:type="paragraph" w:customStyle="1" w:styleId="170">
    <w:name w:val="TOC 标题1"/>
    <w:basedOn w:val="3"/>
    <w:next w:val="1"/>
    <w:semiHidden/>
    <w:unhideWhenUsed/>
    <w:qFormat/>
    <w:uiPriority w:val="39"/>
    <w:pPr>
      <w:outlineLvl w:val="9"/>
    </w:pPr>
  </w:style>
  <w:style w:type="paragraph" w:customStyle="1" w:styleId="171">
    <w:name w:val="修订1"/>
    <w:hidden/>
    <w:semiHidden/>
    <w:qFormat/>
    <w:uiPriority w:val="99"/>
    <w:rPr>
      <w:rFonts w:asciiTheme="minorHAnsi" w:hAnsiTheme="minorHAnsi" w:eastAsiaTheme="minorEastAsia" w:cstheme="minorBidi"/>
      <w:sz w:val="22"/>
      <w:szCs w:val="22"/>
      <w:lang w:val="en-US" w:eastAsia="en-US" w:bidi="ar-SA"/>
    </w:rPr>
  </w:style>
  <w:style w:type="character" w:customStyle="1" w:styleId="172">
    <w:name w:val="批注文字 字符"/>
    <w:basedOn w:val="136"/>
    <w:link w:val="17"/>
    <w:qFormat/>
    <w:uiPriority w:val="99"/>
    <w:rPr>
      <w:sz w:val="20"/>
      <w:szCs w:val="20"/>
    </w:rPr>
  </w:style>
  <w:style w:type="character" w:customStyle="1" w:styleId="173">
    <w:name w:val="批注主题 字符"/>
    <w:basedOn w:val="172"/>
    <w:link w:val="35"/>
    <w:semiHidden/>
    <w:qFormat/>
    <w:uiPriority w:val="99"/>
    <w:rPr>
      <w:b/>
      <w:bCs/>
      <w:sz w:val="20"/>
      <w:szCs w:val="20"/>
    </w:rPr>
  </w:style>
  <w:style w:type="character" w:customStyle="1" w:styleId="174">
    <w:name w:val="w8qarf"/>
    <w:basedOn w:val="136"/>
    <w:qFormat/>
    <w:uiPriority w:val="0"/>
  </w:style>
  <w:style w:type="character" w:customStyle="1" w:styleId="175">
    <w:name w:val="lrzxr"/>
    <w:basedOn w:val="136"/>
    <w:qFormat/>
    <w:uiPriority w:val="0"/>
  </w:style>
  <w:style w:type="character" w:customStyle="1" w:styleId="176">
    <w:name w:val="HTML 预设格式 字符"/>
    <w:basedOn w:val="136"/>
    <w:link w:val="31"/>
    <w:qFormat/>
    <w:uiPriority w:val="99"/>
    <w:rPr>
      <w:rFonts w:ascii="Courier New" w:hAnsi="Courier New" w:eastAsia="Times New Roman" w:cs="Courier New"/>
      <w:sz w:val="20"/>
      <w:szCs w:val="20"/>
      <w:lang w:val="de-DE" w:eastAsia="zh-CN"/>
    </w:rPr>
  </w:style>
  <w:style w:type="character" w:customStyle="1" w:styleId="177">
    <w:name w:val="y2iqfc"/>
    <w:basedOn w:val="136"/>
    <w:qFormat/>
    <w:uiPriority w:val="0"/>
  </w:style>
  <w:style w:type="character" w:customStyle="1" w:styleId="178">
    <w:name w:val="未处理的提及1"/>
    <w:basedOn w:val="13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tyleName="APA" SelectedStyle="/APA.XSL"/>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Template>
  <Pages>14</Pages>
  <Words>2096</Words>
  <Characters>11890</Characters>
  <Lines>100</Lines>
  <Paragraphs>28</Paragraphs>
  <TotalTime>309</TotalTime>
  <ScaleCrop>false</ScaleCrop>
  <LinksUpToDate>false</LinksUpToDate>
  <CharactersWithSpaces>13922</CharactersWithSpaces>
  <Application>WPS Office_12.1.25195.25195_F1E327BC-269C-435d-A152-05C5408002CA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2025-06-25T11:10:00Z</dcterms:created>
  <dc:creator>python-docx</dc:creator>
  <dc:description>generated by python-docx</dc:description>
  <cp:lastModifiedBy>E L F</cp:lastModifiedBy>
  <dcterms:modified xsi:type="dcterms:W3CDTF">2026-02-09T17:05:55Z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2052-12.1.25195.25195</vt:lpwstr>
  </property>
  <property fmtid="{D5CDD505-2E9C-101B-9397-08002B2CF9AE}" pid="3" name="ICV">
    <vt:lpwstr>1FDDA6A6C23F4307BBDB8D2732ED2754_13</vt:lpwstr>
  </property>
  <property fmtid="{D5CDD505-2E9C-101B-9397-08002B2CF9AE}" pid="4" name="KSOTemplateDocerSaveRecord">
    <vt:lpwstr>eyJoZGlkIjoiYTliNDg2ODY5MWMzMTE0ZTQ3YmFiNzhmZjkxNDMxN2EiLCJ1c2VySWQiOiI4MTQzMzQwMzYifQ==</vt:lpwstr>
  </property>
</Properties>
</file>